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AB5" w:rsidRDefault="00262AB5" w:rsidP="00262AB5">
      <w:pPr>
        <w:jc w:val="both"/>
        <w:rPr>
          <w:rFonts w:ascii="Century Gothic" w:eastAsia="Calibri" w:hAnsi="Century Gothic" w:cs="Times New Roman"/>
          <w:b/>
          <w:sz w:val="24"/>
          <w:szCs w:val="24"/>
        </w:rPr>
      </w:pPr>
      <w:bookmarkStart w:id="0" w:name="_GoBack"/>
      <w:r w:rsidRPr="00262AB5">
        <w:rPr>
          <w:rFonts w:ascii="Century Gothic" w:eastAsia="Calibri" w:hAnsi="Century Gothic" w:cs="Times New Roman"/>
          <w:b/>
          <w:sz w:val="24"/>
          <w:szCs w:val="24"/>
        </w:rPr>
        <w:t xml:space="preserve">DICTAMEN EN SENTIDO </w:t>
      </w:r>
      <w:r>
        <w:rPr>
          <w:rFonts w:ascii="Century Gothic" w:eastAsia="Calibri" w:hAnsi="Century Gothic" w:cs="Times New Roman"/>
          <w:b/>
          <w:sz w:val="24"/>
          <w:szCs w:val="24"/>
        </w:rPr>
        <w:t xml:space="preserve">NEGATIVO </w:t>
      </w:r>
      <w:r w:rsidRPr="00262AB5">
        <w:rPr>
          <w:rFonts w:ascii="Century Gothic" w:eastAsia="Calibri" w:hAnsi="Century Gothic" w:cs="Times New Roman"/>
          <w:b/>
          <w:sz w:val="24"/>
          <w:szCs w:val="24"/>
        </w:rPr>
        <w:t xml:space="preserve">DEL PUNTO DE ACUERDO, </w:t>
      </w:r>
      <w:r w:rsidR="00D77F6E" w:rsidRPr="00D77F6E">
        <w:rPr>
          <w:rFonts w:ascii="Century Gothic" w:eastAsia="Calibri" w:hAnsi="Century Gothic" w:cs="Times New Roman"/>
          <w:b/>
          <w:sz w:val="24"/>
          <w:szCs w:val="24"/>
        </w:rPr>
        <w:t>POR EL QUE SE EXHORTA AL EJECUTIVO FEDERAL, A INCLUIR A LA REGIÓN DE LOS CINCO MANANTIALES A LA ZONA LIBRE FRONTERA NORTE</w:t>
      </w:r>
      <w:r w:rsidR="00FB7CA6">
        <w:rPr>
          <w:rFonts w:ascii="Century Gothic" w:eastAsia="Calibri" w:hAnsi="Century Gothic" w:cs="Times New Roman"/>
          <w:b/>
          <w:sz w:val="24"/>
          <w:szCs w:val="24"/>
        </w:rPr>
        <w:t>.</w:t>
      </w:r>
    </w:p>
    <w:bookmarkEnd w:id="0"/>
    <w:p w:rsidR="00262AB5" w:rsidRDefault="00262AB5" w:rsidP="00262AB5">
      <w:pPr>
        <w:jc w:val="both"/>
        <w:rPr>
          <w:rFonts w:ascii="Century Gothic" w:eastAsia="Calibri" w:hAnsi="Century Gothic" w:cs="Times New Roman"/>
          <w:b/>
          <w:sz w:val="24"/>
          <w:szCs w:val="24"/>
        </w:rPr>
      </w:pPr>
    </w:p>
    <w:p w:rsidR="00262AB5" w:rsidRPr="00262AB5"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sz w:val="24"/>
          <w:szCs w:val="24"/>
        </w:rPr>
        <w:t>La Comisión de Asuntos Frontera Norte de la LXIV Legislatura de la Cámara de Diputados del Honorable Congreso de la Unión, con fundamento en lo dispuesto por los artículos 39 y 45, numerales 6, incisos e) y f), 7 y demás relativos de la Ley Orgánica del Congreso General de los Estados Unidos Mexicanos, y 80, 82, numeral 1, 85, 157, numeral 1, fracción 1, y 158, numeral 1, fracción IV, del Reglamento de la Cámara de Diputados y demás relativos  de dicho ordenamiento, presenta el siguiente dictamen:</w:t>
      </w:r>
    </w:p>
    <w:p w:rsidR="00262AB5" w:rsidRPr="00262AB5" w:rsidRDefault="00262AB5" w:rsidP="00262AB5">
      <w:pPr>
        <w:spacing w:line="360" w:lineRule="auto"/>
        <w:jc w:val="both"/>
        <w:rPr>
          <w:rFonts w:ascii="Century Gothic" w:eastAsia="Calibri" w:hAnsi="Century Gothic" w:cs="Times New Roman"/>
          <w:sz w:val="24"/>
          <w:szCs w:val="24"/>
        </w:rPr>
      </w:pPr>
    </w:p>
    <w:p w:rsidR="00262AB5" w:rsidRPr="00262AB5" w:rsidRDefault="00262AB5" w:rsidP="00262AB5">
      <w:pPr>
        <w:spacing w:line="360" w:lineRule="auto"/>
        <w:jc w:val="center"/>
        <w:rPr>
          <w:rFonts w:ascii="Century Gothic" w:eastAsia="Calibri" w:hAnsi="Century Gothic" w:cs="Times New Roman"/>
          <w:b/>
          <w:sz w:val="24"/>
          <w:szCs w:val="24"/>
        </w:rPr>
      </w:pPr>
      <w:r w:rsidRPr="00262AB5">
        <w:rPr>
          <w:rFonts w:ascii="Century Gothic" w:eastAsia="Calibri" w:hAnsi="Century Gothic" w:cs="Times New Roman"/>
          <w:b/>
          <w:sz w:val="24"/>
          <w:szCs w:val="24"/>
        </w:rPr>
        <w:t>I.- ANTECEDENTES</w:t>
      </w:r>
    </w:p>
    <w:p w:rsidR="00262AB5" w:rsidRDefault="00262AB5" w:rsidP="00262AB5">
      <w:pPr>
        <w:spacing w:line="360" w:lineRule="auto"/>
        <w:jc w:val="center"/>
        <w:rPr>
          <w:rFonts w:ascii="Century Gothic" w:eastAsia="Calibri" w:hAnsi="Century Gothic" w:cs="Times New Roman"/>
          <w:b/>
          <w:sz w:val="24"/>
          <w:szCs w:val="24"/>
        </w:rPr>
      </w:pPr>
      <w:r w:rsidRPr="00262AB5">
        <w:rPr>
          <w:rFonts w:ascii="Century Gothic" w:eastAsia="Calibri" w:hAnsi="Century Gothic" w:cs="Times New Roman"/>
          <w:b/>
          <w:sz w:val="24"/>
          <w:szCs w:val="24"/>
        </w:rPr>
        <w:t>II.- CONTENIDO DEL ASUNTO Y PLANTEAMIENTO DEL PROBLEMA</w:t>
      </w:r>
    </w:p>
    <w:p w:rsidR="00D77F6E" w:rsidRDefault="00D77F6E" w:rsidP="00D77F6E">
      <w:pPr>
        <w:spacing w:line="360" w:lineRule="auto"/>
        <w:jc w:val="both"/>
        <w:rPr>
          <w:rFonts w:ascii="Century Gothic" w:hAnsi="Century Gothic"/>
          <w:b/>
          <w:sz w:val="24"/>
          <w:szCs w:val="24"/>
        </w:rPr>
      </w:pPr>
    </w:p>
    <w:p w:rsidR="00D77F6E" w:rsidRDefault="00D77F6E" w:rsidP="00D77F6E">
      <w:pPr>
        <w:spacing w:line="360" w:lineRule="auto"/>
        <w:jc w:val="both"/>
        <w:rPr>
          <w:rFonts w:ascii="Century Gothic" w:hAnsi="Century Gothic"/>
          <w:sz w:val="24"/>
          <w:szCs w:val="24"/>
        </w:rPr>
      </w:pPr>
      <w:r w:rsidRPr="00E0605F">
        <w:rPr>
          <w:rFonts w:ascii="Century Gothic" w:hAnsi="Century Gothic"/>
          <w:b/>
          <w:sz w:val="24"/>
          <w:szCs w:val="24"/>
        </w:rPr>
        <w:t xml:space="preserve">1.- </w:t>
      </w:r>
      <w:r w:rsidRPr="00E0605F">
        <w:rPr>
          <w:rFonts w:ascii="Century Gothic" w:hAnsi="Century Gothic"/>
          <w:sz w:val="24"/>
          <w:szCs w:val="24"/>
        </w:rPr>
        <w:t xml:space="preserve">Con fecha </w:t>
      </w:r>
      <w:r>
        <w:rPr>
          <w:rFonts w:ascii="Century Gothic" w:hAnsi="Century Gothic"/>
          <w:b/>
          <w:sz w:val="24"/>
          <w:szCs w:val="24"/>
        </w:rPr>
        <w:t>14 de febrero de 2019</w:t>
      </w:r>
      <w:r w:rsidRPr="00E0605F">
        <w:rPr>
          <w:rFonts w:ascii="Century Gothic" w:hAnsi="Century Gothic"/>
          <w:sz w:val="24"/>
          <w:szCs w:val="24"/>
        </w:rPr>
        <w:t xml:space="preserve">, el diputado </w:t>
      </w:r>
      <w:r w:rsidRPr="007F3ADE">
        <w:rPr>
          <w:rFonts w:ascii="Century Gothic" w:hAnsi="Century Gothic"/>
          <w:b/>
          <w:sz w:val="24"/>
          <w:szCs w:val="24"/>
        </w:rPr>
        <w:t>Evaristo</w:t>
      </w:r>
      <w:r w:rsidRPr="00B2531B">
        <w:rPr>
          <w:rFonts w:ascii="Century Gothic" w:hAnsi="Century Gothic"/>
          <w:b/>
          <w:sz w:val="24"/>
          <w:szCs w:val="24"/>
        </w:rPr>
        <w:t xml:space="preserve"> Lenin Pérez Rivera</w:t>
      </w:r>
      <w:r w:rsidRPr="00E0605F">
        <w:rPr>
          <w:rFonts w:ascii="Century Gothic" w:hAnsi="Century Gothic"/>
          <w:sz w:val="24"/>
          <w:szCs w:val="24"/>
        </w:rPr>
        <w:t xml:space="preserve"> del Grupo Parlamentario del </w:t>
      </w:r>
      <w:r w:rsidRPr="00B2531B">
        <w:rPr>
          <w:rFonts w:ascii="Century Gothic" w:hAnsi="Century Gothic"/>
          <w:b/>
          <w:sz w:val="24"/>
          <w:szCs w:val="24"/>
        </w:rPr>
        <w:t>Partido Acción Nacional</w:t>
      </w:r>
      <w:r w:rsidRPr="00E0605F">
        <w:rPr>
          <w:rFonts w:ascii="Century Gothic" w:hAnsi="Century Gothic"/>
          <w:sz w:val="24"/>
          <w:szCs w:val="24"/>
        </w:rPr>
        <w:t>, presentó p</w:t>
      </w:r>
      <w:r>
        <w:rPr>
          <w:rFonts w:ascii="Century Gothic" w:hAnsi="Century Gothic"/>
          <w:sz w:val="24"/>
          <w:szCs w:val="24"/>
        </w:rPr>
        <w:t>roposición con punto de acuerdo, p</w:t>
      </w:r>
      <w:r w:rsidRPr="00B2531B">
        <w:rPr>
          <w:rFonts w:ascii="Century Gothic" w:hAnsi="Century Gothic"/>
          <w:sz w:val="24"/>
          <w:szCs w:val="24"/>
        </w:rPr>
        <w:t xml:space="preserve">or el que se exhorta al Ejecutivo federal, </w:t>
      </w:r>
      <w:r w:rsidRPr="00831348">
        <w:rPr>
          <w:rFonts w:ascii="Century Gothic" w:hAnsi="Century Gothic"/>
          <w:sz w:val="24"/>
          <w:szCs w:val="24"/>
        </w:rPr>
        <w:t>a incluir a la región de los Cinco Manantiales a la zona libre frontera norte</w:t>
      </w:r>
      <w:r>
        <w:rPr>
          <w:rFonts w:ascii="Century Gothic" w:hAnsi="Century Gothic"/>
          <w:sz w:val="24"/>
          <w:szCs w:val="24"/>
        </w:rPr>
        <w:t>.</w:t>
      </w:r>
    </w:p>
    <w:p w:rsidR="00D77F6E" w:rsidRDefault="00D77F6E" w:rsidP="00D77F6E">
      <w:pPr>
        <w:jc w:val="both"/>
        <w:rPr>
          <w:rFonts w:ascii="Century Gothic" w:hAnsi="Century Gothic"/>
          <w:sz w:val="24"/>
          <w:szCs w:val="24"/>
        </w:rPr>
      </w:pPr>
    </w:p>
    <w:p w:rsidR="00D77F6E" w:rsidRDefault="00D77F6E" w:rsidP="00D77F6E">
      <w:pPr>
        <w:spacing w:line="360" w:lineRule="auto"/>
        <w:jc w:val="both"/>
        <w:rPr>
          <w:rFonts w:ascii="Century Gothic" w:hAnsi="Century Gothic"/>
          <w:sz w:val="24"/>
          <w:szCs w:val="24"/>
        </w:rPr>
      </w:pPr>
      <w:r w:rsidRPr="00B2531B">
        <w:rPr>
          <w:rFonts w:ascii="Century Gothic" w:hAnsi="Century Gothic"/>
          <w:b/>
          <w:sz w:val="24"/>
          <w:szCs w:val="24"/>
        </w:rPr>
        <w:t xml:space="preserve">2.- </w:t>
      </w:r>
      <w:r w:rsidRPr="00B2531B">
        <w:rPr>
          <w:rFonts w:ascii="Century Gothic" w:hAnsi="Century Gothic"/>
          <w:sz w:val="24"/>
          <w:szCs w:val="24"/>
        </w:rPr>
        <w:t xml:space="preserve">En misma fecha, la Presidencia de la Mesa Directiva, turnó a esta Comisión de Asuntos Frontera </w:t>
      </w:r>
      <w:r>
        <w:rPr>
          <w:rFonts w:ascii="Century Gothic" w:hAnsi="Century Gothic"/>
          <w:sz w:val="24"/>
          <w:szCs w:val="24"/>
        </w:rPr>
        <w:t xml:space="preserve">Norte con número de expediente: </w:t>
      </w:r>
      <w:r w:rsidRPr="00831348">
        <w:rPr>
          <w:rFonts w:ascii="Century Gothic" w:hAnsi="Century Gothic"/>
          <w:b/>
          <w:sz w:val="24"/>
          <w:szCs w:val="24"/>
        </w:rPr>
        <w:t>1951</w:t>
      </w:r>
      <w:r w:rsidRPr="00B2531B">
        <w:rPr>
          <w:rFonts w:ascii="Century Gothic" w:hAnsi="Century Gothic"/>
          <w:b/>
          <w:sz w:val="24"/>
          <w:szCs w:val="24"/>
        </w:rPr>
        <w:t>/LXIV</w:t>
      </w:r>
      <w:r w:rsidRPr="00B2531B">
        <w:rPr>
          <w:rFonts w:ascii="Century Gothic" w:hAnsi="Century Gothic"/>
          <w:sz w:val="24"/>
          <w:szCs w:val="24"/>
        </w:rPr>
        <w:t>, el punto de acuerdo para su estudio, análisis y dictamen correspondiente</w:t>
      </w:r>
      <w:r>
        <w:rPr>
          <w:rFonts w:ascii="Century Gothic" w:hAnsi="Century Gothic"/>
          <w:sz w:val="24"/>
          <w:szCs w:val="24"/>
        </w:rPr>
        <w:t xml:space="preserve"> a dicha proposición en comento.</w:t>
      </w:r>
    </w:p>
    <w:p w:rsidR="00D77F6E" w:rsidRPr="00262AB5" w:rsidRDefault="00D77F6E" w:rsidP="00262AB5">
      <w:pPr>
        <w:spacing w:line="360" w:lineRule="auto"/>
        <w:jc w:val="center"/>
        <w:rPr>
          <w:rFonts w:ascii="Century Gothic" w:eastAsia="Calibri" w:hAnsi="Century Gothic" w:cs="Times New Roman"/>
          <w:b/>
          <w:sz w:val="24"/>
          <w:szCs w:val="24"/>
        </w:rPr>
      </w:pPr>
    </w:p>
    <w:p w:rsidR="00262AB5"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sz w:val="24"/>
          <w:szCs w:val="24"/>
        </w:rPr>
        <w:lastRenderedPageBreak/>
        <w:t>El diputado proponente, mencionó que actualmente la franja fronteriza norte comprende el territorio existente entre la entre la línea divisoria internacional del norte del país y la línea paralela a una distancia de 20 kilómetros hacia el interior.  Y que de acuerdo con el Instituto Nacional para el Federalismo y el Desarrollo Municipal (INAFED), la Región Fronteriza o Norte de Coahuila está conformada por diez municipios: Allende, Guerrero, Hidalgo, Acuña, Jiménez, Morelos, Nava, Piedras Negras, Villa Unión y Zaragoza, de ellos, únicamente 5 municipios y una parte de un sexto forman la Franja Fronteriza y tienen acceso a los estímulos fiscales.</w:t>
      </w:r>
    </w:p>
    <w:p w:rsidR="00262AB5" w:rsidRPr="00262AB5" w:rsidRDefault="00262AB5" w:rsidP="00262AB5">
      <w:pPr>
        <w:spacing w:line="360" w:lineRule="auto"/>
        <w:jc w:val="both"/>
        <w:rPr>
          <w:rFonts w:ascii="Century Gothic" w:eastAsia="Calibri" w:hAnsi="Century Gothic" w:cs="Times New Roman"/>
          <w:sz w:val="24"/>
          <w:szCs w:val="24"/>
        </w:rPr>
      </w:pPr>
    </w:p>
    <w:p w:rsidR="00262AB5"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sz w:val="24"/>
          <w:szCs w:val="24"/>
        </w:rPr>
        <w:t>De lo anterior, el legislador manifestó que la</w:t>
      </w:r>
      <w:r w:rsidRPr="00262AB5">
        <w:rPr>
          <w:rFonts w:ascii="Arial" w:eastAsia="Calibri" w:hAnsi="Arial" w:cs="Arial"/>
          <w:color w:val="000000"/>
          <w:shd w:val="clear" w:color="auto" w:fill="FFFFFF"/>
        </w:rPr>
        <w:t xml:space="preserve"> </w:t>
      </w:r>
      <w:r w:rsidRPr="00262AB5">
        <w:rPr>
          <w:rFonts w:ascii="Century Gothic" w:eastAsia="Calibri" w:hAnsi="Century Gothic" w:cs="Times New Roman"/>
          <w:sz w:val="24"/>
          <w:szCs w:val="24"/>
        </w:rPr>
        <w:t>región denominada Cinco Manantiales, que comprende los municipios de Allende, Zaragoza, Nava, Morelos y Villa Unión. Esta región se encuentra dentro de una distancia de 53 km de la frontera, es decir, rebasa los 20 km de la Franja Fronteriza, por lo que los municipios que la conforman no obtienen los beneficios referidos y ha provocado que los habitantes se desplacen a Piedras Negras a desempeñar sus actividades diarias, que ponen en riesgo el crecimiento económico de esta región, sobre todo en el precio de las gasolinas, ya que los precios son más altos en esta región y ha perjudicado el 90% de las ventas, ya que los habitantes prefieren ir a Texas para comprar a menor costo.</w:t>
      </w:r>
    </w:p>
    <w:p w:rsidR="00A461FE" w:rsidRPr="00262AB5" w:rsidRDefault="00A461FE" w:rsidP="00262AB5">
      <w:pPr>
        <w:spacing w:line="360" w:lineRule="auto"/>
        <w:jc w:val="both"/>
        <w:rPr>
          <w:rFonts w:ascii="Century Gothic" w:eastAsia="Calibri" w:hAnsi="Century Gothic" w:cs="Times New Roman"/>
          <w:sz w:val="24"/>
          <w:szCs w:val="24"/>
        </w:rPr>
      </w:pPr>
    </w:p>
    <w:p w:rsidR="00A461FE"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sz w:val="24"/>
          <w:szCs w:val="24"/>
        </w:rPr>
        <w:t xml:space="preserve">Además, debido a la cercanía de esta región con los Estados Unidos de América, específicamente con las ciudades de Eagle Pass y del Rio, Texas, se encuentra en gran desventaja, pues los municipios de los Cinco </w:t>
      </w:r>
      <w:r w:rsidRPr="00262AB5">
        <w:rPr>
          <w:rFonts w:ascii="Century Gothic" w:eastAsia="Calibri" w:hAnsi="Century Gothic" w:cs="Times New Roman"/>
          <w:sz w:val="24"/>
          <w:szCs w:val="24"/>
        </w:rPr>
        <w:lastRenderedPageBreak/>
        <w:t>Manantiales están conectados con dichas ciudades a través de la carretera federal 57, siendo muy fácil trasladarse a ellas. </w:t>
      </w:r>
    </w:p>
    <w:p w:rsidR="00ED7816" w:rsidRPr="00262AB5" w:rsidRDefault="00ED7816" w:rsidP="00262AB5">
      <w:pPr>
        <w:spacing w:line="360" w:lineRule="auto"/>
        <w:jc w:val="both"/>
        <w:rPr>
          <w:rFonts w:ascii="Century Gothic" w:eastAsia="Calibri" w:hAnsi="Century Gothic" w:cs="Times New Roman"/>
          <w:sz w:val="24"/>
          <w:szCs w:val="24"/>
        </w:rPr>
      </w:pPr>
      <w:r w:rsidRPr="00ED7816">
        <w:rPr>
          <w:rFonts w:ascii="Century Gothic" w:eastAsia="Calibri" w:hAnsi="Century Gothic" w:cs="Times New Roman"/>
          <w:sz w:val="24"/>
          <w:szCs w:val="24"/>
        </w:rPr>
        <w:t>En este sentido, el proponente mencionó que</w:t>
      </w:r>
      <w:r w:rsidRPr="00ED7816">
        <w:rPr>
          <w:rFonts w:ascii="Arial" w:eastAsia="Calibri" w:hAnsi="Arial" w:cs="Arial"/>
          <w:color w:val="000000"/>
          <w:shd w:val="clear" w:color="auto" w:fill="FFFFFF"/>
        </w:rPr>
        <w:t xml:space="preserve"> </w:t>
      </w:r>
      <w:r w:rsidRPr="00ED7816">
        <w:rPr>
          <w:rFonts w:ascii="Century Gothic" w:eastAsia="Calibri" w:hAnsi="Century Gothic" w:cs="Times New Roman"/>
          <w:sz w:val="24"/>
          <w:szCs w:val="24"/>
        </w:rPr>
        <w:t>existe otra razón muy importante por la cual consideramos que los Cinco Manantiales deben contar con estímulos fiscales; apoyar al estado de Coahuila, que, derivado a su cercanía con Estados Unidos, tiene una enorme desventaja frente a diversos sectores. Por lo que es de interés que reciba los apoyos necesarios que ayuden a cumplir con sus compromisos hacia los ciudadanos y garantice su bienestar.</w:t>
      </w:r>
    </w:p>
    <w:p w:rsidR="00262AB5" w:rsidRPr="00262AB5"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sz w:val="24"/>
          <w:szCs w:val="24"/>
        </w:rPr>
        <w:t xml:space="preserve">Finalmente, el diputado expuso que en campaña el Actual Presidente de la República, Andrés Manuel López Obrador, declaró en diversas ocasiones que desde el primero de enero de 2019 se implementarán las medidas para fortalecer competitividad en la frontera norte, por lo que él comparte esa idea y de incluir a los Cinco Manantiales a la zona libre significaría progreso, desarrollo y crecimiento económico para Coahuila y para todo el país. </w:t>
      </w:r>
    </w:p>
    <w:p w:rsidR="00262AB5" w:rsidRPr="00262AB5"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sz w:val="24"/>
          <w:szCs w:val="24"/>
        </w:rPr>
        <w:t>El resolutivo propuesto por el diputado en la proposición, es el siguiente:</w:t>
      </w:r>
    </w:p>
    <w:p w:rsidR="00262AB5" w:rsidRPr="00262AB5" w:rsidRDefault="00262AB5" w:rsidP="00262AB5">
      <w:pPr>
        <w:spacing w:line="360" w:lineRule="auto"/>
        <w:jc w:val="center"/>
        <w:rPr>
          <w:rFonts w:ascii="Century Gothic" w:eastAsia="Calibri" w:hAnsi="Century Gothic" w:cs="Times New Roman"/>
          <w:b/>
          <w:sz w:val="24"/>
          <w:szCs w:val="24"/>
        </w:rPr>
      </w:pPr>
      <w:r w:rsidRPr="00262AB5">
        <w:rPr>
          <w:rFonts w:ascii="Century Gothic" w:eastAsia="Calibri" w:hAnsi="Century Gothic" w:cs="Times New Roman"/>
          <w:b/>
          <w:sz w:val="24"/>
          <w:szCs w:val="24"/>
        </w:rPr>
        <w:t>Punto de Acuerdo</w:t>
      </w:r>
    </w:p>
    <w:p w:rsidR="00262AB5" w:rsidRDefault="00262AB5" w:rsidP="00262AB5">
      <w:pPr>
        <w:spacing w:line="360" w:lineRule="auto"/>
        <w:ind w:left="680" w:right="680"/>
        <w:jc w:val="both"/>
        <w:rPr>
          <w:rFonts w:ascii="Century Gothic" w:eastAsia="Calibri" w:hAnsi="Century Gothic" w:cs="Times New Roman"/>
          <w:sz w:val="24"/>
          <w:szCs w:val="24"/>
        </w:rPr>
      </w:pPr>
      <w:r w:rsidRPr="00262AB5">
        <w:rPr>
          <w:rFonts w:ascii="Century Gothic" w:eastAsia="Calibri" w:hAnsi="Century Gothic" w:cs="Times New Roman"/>
          <w:b/>
          <w:bCs/>
          <w:sz w:val="24"/>
          <w:szCs w:val="24"/>
        </w:rPr>
        <w:t>Único:</w:t>
      </w:r>
      <w:r w:rsidRPr="00262AB5">
        <w:rPr>
          <w:rFonts w:ascii="Century Gothic" w:eastAsia="Calibri" w:hAnsi="Century Gothic" w:cs="Times New Roman"/>
          <w:sz w:val="24"/>
          <w:szCs w:val="24"/>
        </w:rPr>
        <w:t xml:space="preserve"> </w:t>
      </w:r>
      <w:r w:rsidR="00D77F6E" w:rsidRPr="00D77F6E">
        <w:rPr>
          <w:rFonts w:ascii="Century Gothic" w:eastAsia="Calibri" w:hAnsi="Century Gothic" w:cs="Times New Roman"/>
          <w:sz w:val="24"/>
          <w:szCs w:val="24"/>
        </w:rPr>
        <w:t>La Cámara de Diputados exhorta respetuosamente al Presidente de la República, Andrés Manuel López Obrador, para que instruya al titular de la Secretaría de Hacienda incluir a la región de los Cinco Manantiales en el programa “Zona Libre Frontera Norte”, a efecto de que los habitantes de los municipios que conforman dicha región se vean beneficiados a través de las medidas que se están implementando.</w:t>
      </w:r>
    </w:p>
    <w:p w:rsidR="00262AB5" w:rsidRPr="00262AB5" w:rsidRDefault="00262AB5" w:rsidP="00262AB5">
      <w:pPr>
        <w:spacing w:line="360" w:lineRule="auto"/>
        <w:ind w:left="680" w:right="680"/>
        <w:jc w:val="both"/>
        <w:rPr>
          <w:rFonts w:ascii="Century Gothic" w:eastAsia="Calibri" w:hAnsi="Century Gothic" w:cs="Times New Roman"/>
          <w:sz w:val="24"/>
          <w:szCs w:val="24"/>
        </w:rPr>
      </w:pPr>
    </w:p>
    <w:p w:rsidR="00ED7816" w:rsidRDefault="00ED7816" w:rsidP="00262AB5">
      <w:pPr>
        <w:spacing w:line="360" w:lineRule="auto"/>
        <w:ind w:left="680" w:right="680"/>
        <w:jc w:val="center"/>
        <w:rPr>
          <w:rFonts w:ascii="Century Gothic" w:eastAsia="Calibri" w:hAnsi="Century Gothic" w:cs="Times New Roman"/>
          <w:b/>
          <w:sz w:val="24"/>
          <w:szCs w:val="24"/>
        </w:rPr>
      </w:pPr>
    </w:p>
    <w:p w:rsidR="00262AB5" w:rsidRPr="00262AB5" w:rsidRDefault="00262AB5" w:rsidP="00262AB5">
      <w:pPr>
        <w:spacing w:line="360" w:lineRule="auto"/>
        <w:ind w:left="680" w:right="680"/>
        <w:jc w:val="center"/>
        <w:rPr>
          <w:rFonts w:ascii="Century Gothic" w:eastAsia="Calibri" w:hAnsi="Century Gothic" w:cs="Times New Roman"/>
          <w:b/>
          <w:sz w:val="24"/>
          <w:szCs w:val="24"/>
        </w:rPr>
      </w:pPr>
      <w:r w:rsidRPr="00262AB5">
        <w:rPr>
          <w:rFonts w:ascii="Century Gothic" w:eastAsia="Calibri" w:hAnsi="Century Gothic" w:cs="Times New Roman"/>
          <w:b/>
          <w:sz w:val="24"/>
          <w:szCs w:val="24"/>
        </w:rPr>
        <w:t>III.- PROCESO DE ANÁLISIS</w:t>
      </w:r>
    </w:p>
    <w:p w:rsidR="00262AB5" w:rsidRPr="00262AB5"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sz w:val="24"/>
          <w:szCs w:val="24"/>
        </w:rPr>
        <w:t>Esta Comisión examinó los méritos de la proposición con base en la aplicación del marco normativo vigente, consulta de antecedentes legislativos, información oficial y medios de comunicación, y se enriqueció con su discusión en reunión ordinaria.</w:t>
      </w:r>
    </w:p>
    <w:p w:rsidR="00262AB5" w:rsidRPr="00262AB5" w:rsidRDefault="00262AB5" w:rsidP="00262AB5">
      <w:pPr>
        <w:jc w:val="both"/>
        <w:rPr>
          <w:rFonts w:ascii="Century Gothic" w:eastAsia="Calibri" w:hAnsi="Century Gothic" w:cs="Times New Roman"/>
          <w:b/>
          <w:sz w:val="24"/>
          <w:szCs w:val="24"/>
        </w:rPr>
      </w:pPr>
    </w:p>
    <w:p w:rsidR="00262AB5" w:rsidRPr="00262AB5" w:rsidRDefault="00262AB5" w:rsidP="00262AB5">
      <w:pPr>
        <w:spacing w:line="360" w:lineRule="auto"/>
        <w:jc w:val="center"/>
        <w:rPr>
          <w:rFonts w:ascii="Century Gothic" w:eastAsia="Calibri" w:hAnsi="Century Gothic" w:cs="Times New Roman"/>
          <w:b/>
          <w:sz w:val="24"/>
          <w:szCs w:val="24"/>
        </w:rPr>
      </w:pPr>
      <w:r w:rsidRPr="00262AB5">
        <w:rPr>
          <w:rFonts w:ascii="Century Gothic" w:eastAsia="Calibri" w:hAnsi="Century Gothic" w:cs="Times New Roman"/>
          <w:b/>
          <w:sz w:val="24"/>
          <w:szCs w:val="24"/>
        </w:rPr>
        <w:t>IV.- CONSIDERACIONES</w:t>
      </w:r>
    </w:p>
    <w:p w:rsidR="00651652" w:rsidRDefault="00262AB5" w:rsidP="00262AB5">
      <w:pPr>
        <w:spacing w:line="360" w:lineRule="auto"/>
        <w:jc w:val="both"/>
        <w:rPr>
          <w:rFonts w:ascii="Century Gothic" w:eastAsia="Calibri" w:hAnsi="Century Gothic" w:cs="Times New Roman"/>
          <w:sz w:val="24"/>
          <w:szCs w:val="24"/>
        </w:rPr>
      </w:pPr>
      <w:r w:rsidRPr="00262AB5">
        <w:rPr>
          <w:rFonts w:ascii="Century Gothic" w:eastAsia="Calibri" w:hAnsi="Century Gothic" w:cs="Times New Roman"/>
          <w:b/>
          <w:sz w:val="24"/>
          <w:szCs w:val="24"/>
        </w:rPr>
        <w:t>Primero</w:t>
      </w:r>
      <w:r>
        <w:rPr>
          <w:rFonts w:ascii="Century Gothic" w:eastAsia="Calibri" w:hAnsi="Century Gothic" w:cs="Times New Roman"/>
          <w:b/>
          <w:sz w:val="24"/>
          <w:szCs w:val="24"/>
        </w:rPr>
        <w:t xml:space="preserve">. </w:t>
      </w:r>
      <w:r>
        <w:rPr>
          <w:rFonts w:ascii="Century Gothic" w:eastAsia="Calibri" w:hAnsi="Century Gothic" w:cs="Times New Roman"/>
          <w:sz w:val="24"/>
          <w:szCs w:val="24"/>
        </w:rPr>
        <w:t>Los integrantes de esta Comisión consideramos que la propuesta del diputado</w:t>
      </w:r>
      <w:r w:rsidR="0081318E">
        <w:rPr>
          <w:rFonts w:ascii="Century Gothic" w:eastAsia="Calibri" w:hAnsi="Century Gothic" w:cs="Times New Roman"/>
          <w:sz w:val="24"/>
          <w:szCs w:val="24"/>
        </w:rPr>
        <w:t xml:space="preserve"> tiene la finalidad de</w:t>
      </w:r>
      <w:r>
        <w:rPr>
          <w:rFonts w:ascii="Century Gothic" w:eastAsia="Calibri" w:hAnsi="Century Gothic" w:cs="Times New Roman"/>
          <w:sz w:val="24"/>
          <w:szCs w:val="24"/>
        </w:rPr>
        <w:t xml:space="preserve"> generar bienestar tanto para el Estado en el cual se encuentran ubicados los municipio</w:t>
      </w:r>
      <w:r w:rsidR="0081318E">
        <w:rPr>
          <w:rFonts w:ascii="Century Gothic" w:eastAsia="Calibri" w:hAnsi="Century Gothic" w:cs="Times New Roman"/>
          <w:sz w:val="24"/>
          <w:szCs w:val="24"/>
        </w:rPr>
        <w:t xml:space="preserve">s mencionados en la proposición, así como el desarrollo tanto económico </w:t>
      </w:r>
      <w:r w:rsidR="006F7E9F">
        <w:rPr>
          <w:rFonts w:ascii="Century Gothic" w:eastAsia="Calibri" w:hAnsi="Century Gothic" w:cs="Times New Roman"/>
          <w:sz w:val="24"/>
          <w:szCs w:val="24"/>
        </w:rPr>
        <w:t xml:space="preserve">y </w:t>
      </w:r>
      <w:r w:rsidR="0081318E">
        <w:rPr>
          <w:rFonts w:ascii="Century Gothic" w:eastAsia="Calibri" w:hAnsi="Century Gothic" w:cs="Times New Roman"/>
          <w:sz w:val="24"/>
          <w:szCs w:val="24"/>
        </w:rPr>
        <w:t>social de sus habitantes</w:t>
      </w:r>
      <w:r w:rsidR="00503A4F">
        <w:rPr>
          <w:rFonts w:ascii="Century Gothic" w:eastAsia="Calibri" w:hAnsi="Century Gothic" w:cs="Times New Roman"/>
          <w:sz w:val="24"/>
          <w:szCs w:val="24"/>
        </w:rPr>
        <w:t xml:space="preserve">. Sin embargo, al momento de analizar </w:t>
      </w:r>
      <w:r w:rsidR="00710409">
        <w:rPr>
          <w:rFonts w:ascii="Century Gothic" w:eastAsia="Calibri" w:hAnsi="Century Gothic" w:cs="Times New Roman"/>
          <w:sz w:val="24"/>
          <w:szCs w:val="24"/>
        </w:rPr>
        <w:t xml:space="preserve">las </w:t>
      </w:r>
      <w:r w:rsidR="006F7E9F">
        <w:rPr>
          <w:rFonts w:ascii="Century Gothic" w:eastAsia="Calibri" w:hAnsi="Century Gothic" w:cs="Times New Roman"/>
          <w:sz w:val="24"/>
          <w:szCs w:val="24"/>
        </w:rPr>
        <w:t xml:space="preserve">viabilidades de aprobar la proposición, </w:t>
      </w:r>
      <w:r w:rsidR="00503A4F">
        <w:rPr>
          <w:rFonts w:ascii="Century Gothic" w:eastAsia="Calibri" w:hAnsi="Century Gothic" w:cs="Times New Roman"/>
          <w:sz w:val="24"/>
          <w:szCs w:val="24"/>
        </w:rPr>
        <w:t xml:space="preserve">los integrantes de esta Comisión </w:t>
      </w:r>
      <w:r w:rsidR="006F7E9F">
        <w:rPr>
          <w:rFonts w:ascii="Century Gothic" w:eastAsia="Calibri" w:hAnsi="Century Gothic" w:cs="Times New Roman"/>
          <w:sz w:val="24"/>
          <w:szCs w:val="24"/>
        </w:rPr>
        <w:t xml:space="preserve">hemos </w:t>
      </w:r>
      <w:r w:rsidR="00503A4F">
        <w:rPr>
          <w:rFonts w:ascii="Century Gothic" w:eastAsia="Calibri" w:hAnsi="Century Gothic" w:cs="Times New Roman"/>
          <w:sz w:val="24"/>
          <w:szCs w:val="24"/>
        </w:rPr>
        <w:t>encontrado</w:t>
      </w:r>
      <w:r w:rsidR="006F7E9F">
        <w:rPr>
          <w:rFonts w:ascii="Century Gothic" w:eastAsia="Calibri" w:hAnsi="Century Gothic" w:cs="Times New Roman"/>
          <w:sz w:val="24"/>
          <w:szCs w:val="24"/>
        </w:rPr>
        <w:t xml:space="preserve"> algunas consideraciones que impiden la aprobación del mismo, cuyas razones se exponen en los siguientes puntos.</w:t>
      </w:r>
    </w:p>
    <w:p w:rsidR="006F7E9F" w:rsidRDefault="006F7E9F" w:rsidP="00262AB5">
      <w:pPr>
        <w:spacing w:line="360" w:lineRule="auto"/>
        <w:jc w:val="both"/>
        <w:rPr>
          <w:rFonts w:ascii="Century Gothic" w:eastAsia="Calibri" w:hAnsi="Century Gothic" w:cs="Times New Roman"/>
          <w:sz w:val="24"/>
          <w:szCs w:val="24"/>
        </w:rPr>
      </w:pPr>
    </w:p>
    <w:p w:rsidR="006F7E9F" w:rsidRDefault="006F7E9F" w:rsidP="00262AB5">
      <w:pPr>
        <w:spacing w:line="360" w:lineRule="auto"/>
        <w:jc w:val="both"/>
        <w:rPr>
          <w:rFonts w:ascii="Century Gothic" w:eastAsia="Calibri" w:hAnsi="Century Gothic" w:cs="Times New Roman"/>
          <w:sz w:val="24"/>
          <w:szCs w:val="24"/>
        </w:rPr>
      </w:pPr>
      <w:r w:rsidRPr="006F7E9F">
        <w:rPr>
          <w:rFonts w:ascii="Century Gothic" w:eastAsia="Calibri" w:hAnsi="Century Gothic" w:cs="Times New Roman"/>
          <w:b/>
          <w:sz w:val="24"/>
          <w:szCs w:val="24"/>
        </w:rPr>
        <w:t>Segundo.</w:t>
      </w:r>
      <w:r>
        <w:rPr>
          <w:rFonts w:ascii="Century Gothic" w:eastAsia="Calibri" w:hAnsi="Century Gothic" w:cs="Times New Roman"/>
          <w:b/>
          <w:sz w:val="24"/>
          <w:szCs w:val="24"/>
        </w:rPr>
        <w:t xml:space="preserve"> </w:t>
      </w:r>
      <w:r>
        <w:rPr>
          <w:rFonts w:ascii="Century Gothic" w:eastAsia="Calibri" w:hAnsi="Century Gothic" w:cs="Times New Roman"/>
          <w:sz w:val="24"/>
          <w:szCs w:val="24"/>
        </w:rPr>
        <w:t xml:space="preserve">Desde que el Licenciado Andrés Manuel López Obrador tomó protesta como </w:t>
      </w:r>
      <w:r w:rsidR="00890871">
        <w:rPr>
          <w:rFonts w:ascii="Century Gothic" w:eastAsia="Calibri" w:hAnsi="Century Gothic" w:cs="Times New Roman"/>
          <w:sz w:val="24"/>
          <w:szCs w:val="24"/>
        </w:rPr>
        <w:t xml:space="preserve">Presidente Constitucional </w:t>
      </w:r>
      <w:r>
        <w:rPr>
          <w:rFonts w:ascii="Century Gothic" w:eastAsia="Calibri" w:hAnsi="Century Gothic" w:cs="Times New Roman"/>
          <w:sz w:val="24"/>
          <w:szCs w:val="24"/>
        </w:rPr>
        <w:t>de los</w:t>
      </w:r>
      <w:r w:rsidR="00890871">
        <w:rPr>
          <w:rFonts w:ascii="Century Gothic" w:eastAsia="Calibri" w:hAnsi="Century Gothic" w:cs="Times New Roman"/>
          <w:sz w:val="24"/>
          <w:szCs w:val="24"/>
        </w:rPr>
        <w:t xml:space="preserve"> Estados Un</w:t>
      </w:r>
      <w:r w:rsidR="00503A4F">
        <w:rPr>
          <w:rFonts w:ascii="Century Gothic" w:eastAsia="Calibri" w:hAnsi="Century Gothic" w:cs="Times New Roman"/>
          <w:sz w:val="24"/>
          <w:szCs w:val="24"/>
        </w:rPr>
        <w:t>idos Mexicanos, mencionó que dentro de su agenda de trabajo</w:t>
      </w:r>
      <w:r w:rsidR="00890871">
        <w:rPr>
          <w:rFonts w:ascii="Century Gothic" w:eastAsia="Calibri" w:hAnsi="Century Gothic" w:cs="Times New Roman"/>
          <w:sz w:val="24"/>
          <w:szCs w:val="24"/>
        </w:rPr>
        <w:t xml:space="preserve"> tenía contemplado la reducción de impuestos en la zona de la frontera norte, a través del programa Zona Libre, que consistía en fijar la reducción del IVA e ISR en 8% y 20% respectivamente, así como aumentar al doble el salario mínimo de las zonas que integran la franja fronteriza.</w:t>
      </w:r>
    </w:p>
    <w:p w:rsidR="00503A4F" w:rsidRDefault="00503A4F" w:rsidP="00262AB5">
      <w:pPr>
        <w:spacing w:line="360" w:lineRule="auto"/>
        <w:jc w:val="both"/>
        <w:rPr>
          <w:rFonts w:ascii="Century Gothic" w:eastAsia="Calibri" w:hAnsi="Century Gothic" w:cs="Times New Roman"/>
          <w:sz w:val="24"/>
          <w:szCs w:val="24"/>
        </w:rPr>
      </w:pPr>
    </w:p>
    <w:p w:rsidR="00890871" w:rsidRDefault="00890871" w:rsidP="00262AB5">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Cabe considerar que el Programa de la Zona Libre</w:t>
      </w:r>
      <w:r w:rsidR="00C25885">
        <w:rPr>
          <w:rFonts w:ascii="Century Gothic" w:eastAsia="Calibri" w:hAnsi="Century Gothic" w:cs="Times New Roman"/>
          <w:sz w:val="24"/>
          <w:szCs w:val="24"/>
        </w:rPr>
        <w:t xml:space="preserve"> de la Frontera Norte entro en vigor a partir del día 01 de enero de 2019 y estará vigente durante 2019 y 2020</w:t>
      </w:r>
      <w:r w:rsidR="00C25885">
        <w:rPr>
          <w:rStyle w:val="Refdenotaalpie"/>
          <w:rFonts w:ascii="Century Gothic" w:eastAsia="Calibri" w:hAnsi="Century Gothic" w:cs="Times New Roman"/>
          <w:sz w:val="24"/>
          <w:szCs w:val="24"/>
        </w:rPr>
        <w:footnoteReference w:id="1"/>
      </w:r>
      <w:r w:rsidR="00CE399C">
        <w:rPr>
          <w:rFonts w:ascii="Century Gothic" w:eastAsia="Calibri" w:hAnsi="Century Gothic" w:cs="Times New Roman"/>
          <w:sz w:val="24"/>
          <w:szCs w:val="24"/>
        </w:rPr>
        <w:t xml:space="preserve"> y contempla las siguientes acciones</w:t>
      </w:r>
      <w:r w:rsidR="008361C2">
        <w:rPr>
          <w:rFonts w:ascii="Century Gothic" w:eastAsia="Calibri" w:hAnsi="Century Gothic" w:cs="Times New Roman"/>
          <w:sz w:val="24"/>
          <w:szCs w:val="24"/>
        </w:rPr>
        <w:t>:</w:t>
      </w:r>
    </w:p>
    <w:p w:rsidR="00503A4F" w:rsidRDefault="00503A4F" w:rsidP="00262AB5">
      <w:pPr>
        <w:spacing w:line="360" w:lineRule="auto"/>
        <w:jc w:val="both"/>
        <w:rPr>
          <w:rFonts w:ascii="Century Gothic" w:eastAsia="Calibri" w:hAnsi="Century Gothic" w:cs="Times New Roman"/>
          <w:sz w:val="24"/>
          <w:szCs w:val="24"/>
        </w:rPr>
      </w:pPr>
    </w:p>
    <w:p w:rsidR="008361C2" w:rsidRDefault="008361C2" w:rsidP="008361C2">
      <w:pPr>
        <w:spacing w:line="360" w:lineRule="auto"/>
        <w:jc w:val="both"/>
        <w:rPr>
          <w:rFonts w:ascii="Century Gothic" w:eastAsia="Calibri" w:hAnsi="Century Gothic" w:cs="Times New Roman"/>
          <w:sz w:val="24"/>
          <w:szCs w:val="24"/>
        </w:rPr>
      </w:pPr>
      <w:r w:rsidRPr="00A31F4E">
        <w:rPr>
          <w:rFonts w:ascii="Century Gothic" w:eastAsia="Calibri" w:hAnsi="Century Gothic" w:cs="Times New Roman"/>
          <w:b/>
          <w:sz w:val="24"/>
          <w:szCs w:val="24"/>
        </w:rPr>
        <w:t>Municipios que aplican para el Programa de la Zona Libre de la Frontera Norte que gozaran de los beneficios a través del Decreto</w:t>
      </w:r>
      <w:r>
        <w:rPr>
          <w:rFonts w:ascii="Century Gothic" w:eastAsia="Calibri" w:hAnsi="Century Gothic" w:cs="Times New Roman"/>
          <w:sz w:val="24"/>
          <w:szCs w:val="24"/>
        </w:rPr>
        <w:t xml:space="preserve">: </w:t>
      </w:r>
      <w:r w:rsidRPr="008361C2">
        <w:rPr>
          <w:rFonts w:ascii="Century Gothic" w:eastAsia="Calibri" w:hAnsi="Century Gothic" w:cs="Times New Roman"/>
          <w:sz w:val="24"/>
          <w:szCs w:val="24"/>
        </w:rPr>
        <w:t>los municipios de Ensenada, Playas de Rosarito, Tijuana, Tecate y Mexicali del estado de Baja California; a los municipios de San Luis Río Colorado, Puerto Peñasco, General Plutarco Elías Calles, Caborca, Altar, Sáric, Nogales, Santa Cruz, Cananea, Naco y Agua Prieta del Estado de Sonora; Janos, Ascensión, Juárez, Praxedis G. Guerrero,</w:t>
      </w:r>
      <w:r w:rsidRPr="008361C2">
        <w:t xml:space="preserve"> </w:t>
      </w:r>
      <w:r w:rsidRPr="008361C2">
        <w:rPr>
          <w:rFonts w:ascii="Century Gothic" w:eastAsia="Calibri" w:hAnsi="Century Gothic" w:cs="Times New Roman"/>
          <w:sz w:val="24"/>
          <w:szCs w:val="24"/>
        </w:rPr>
        <w:t xml:space="preserve">Guadalupe, Coyame del Sotol, Ojinaga y Manuel Benavides del estado de Chihuahua; </w:t>
      </w:r>
      <w:r w:rsidRPr="008361C2">
        <w:rPr>
          <w:rFonts w:ascii="Century Gothic" w:eastAsia="Calibri" w:hAnsi="Century Gothic" w:cs="Times New Roman"/>
          <w:b/>
          <w:sz w:val="24"/>
          <w:szCs w:val="24"/>
        </w:rPr>
        <w:t>a los municipios de Ocampo, Acuña, Zaragoza, Jiménez, Piedras Negras, Nava, Guerrero e Hidalgo del Estado de Coahuila de Zaragoza</w:t>
      </w:r>
      <w:r w:rsidRPr="008361C2">
        <w:rPr>
          <w:rFonts w:ascii="Century Gothic" w:eastAsia="Calibri" w:hAnsi="Century Gothic" w:cs="Times New Roman"/>
          <w:sz w:val="24"/>
          <w:szCs w:val="24"/>
        </w:rPr>
        <w:t>; Anáhuac del estado de Nuevo León, y a los municipios de Nuevo Laredo; Guerrero, Mier, Miguel Alemán, Camargo, Gustavo Díaz Ordaz, Reynosa, Río Bravo, Valle Hermoso y Matamoros del estado de Tamaulipas</w:t>
      </w:r>
      <w:r w:rsidR="00A31F4E">
        <w:rPr>
          <w:rStyle w:val="Refdenotaalpie"/>
          <w:rFonts w:ascii="Century Gothic" w:eastAsia="Calibri" w:hAnsi="Century Gothic" w:cs="Times New Roman"/>
          <w:sz w:val="24"/>
          <w:szCs w:val="24"/>
        </w:rPr>
        <w:footnoteReference w:id="2"/>
      </w:r>
      <w:r>
        <w:rPr>
          <w:rFonts w:ascii="Century Gothic" w:eastAsia="Calibri" w:hAnsi="Century Gothic" w:cs="Times New Roman"/>
          <w:sz w:val="24"/>
          <w:szCs w:val="24"/>
        </w:rPr>
        <w:t xml:space="preserve">. </w:t>
      </w:r>
    </w:p>
    <w:p w:rsidR="00503A4F" w:rsidRDefault="00503A4F" w:rsidP="008361C2">
      <w:pPr>
        <w:spacing w:line="360" w:lineRule="auto"/>
        <w:jc w:val="both"/>
        <w:rPr>
          <w:rFonts w:ascii="Century Gothic" w:eastAsia="Calibri" w:hAnsi="Century Gothic" w:cs="Times New Roman"/>
          <w:sz w:val="24"/>
          <w:szCs w:val="24"/>
        </w:rPr>
      </w:pPr>
    </w:p>
    <w:p w:rsidR="008361C2" w:rsidRDefault="00E91D28" w:rsidP="00E91D28">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 xml:space="preserve">Por otra parte, los contribuyentes beneficiados serás las personas físicas empresarias y profesionales y morales residentes en México, los residentes en </w:t>
      </w:r>
      <w:r>
        <w:rPr>
          <w:rFonts w:ascii="Century Gothic" w:eastAsia="Calibri" w:hAnsi="Century Gothic" w:cs="Times New Roman"/>
          <w:sz w:val="24"/>
          <w:szCs w:val="24"/>
        </w:rPr>
        <w:lastRenderedPageBreak/>
        <w:t>el extranjero con Establecimiento Permanente (EP)</w:t>
      </w:r>
      <w:r w:rsidRPr="00E91D28">
        <w:t xml:space="preserve"> </w:t>
      </w:r>
      <w:r w:rsidRPr="00E91D28">
        <w:rPr>
          <w:rFonts w:ascii="Century Gothic" w:eastAsia="Calibri" w:hAnsi="Century Gothic" w:cs="Times New Roman"/>
          <w:sz w:val="24"/>
          <w:szCs w:val="24"/>
        </w:rPr>
        <w:t>y los de la opción de acumulación de ingresos por personas morales constituidas únicamente por personas físicas, que perciban ingresos exclusivament</w:t>
      </w:r>
      <w:r>
        <w:rPr>
          <w:rFonts w:ascii="Century Gothic" w:eastAsia="Calibri" w:hAnsi="Century Gothic" w:cs="Times New Roman"/>
          <w:sz w:val="24"/>
          <w:szCs w:val="24"/>
        </w:rPr>
        <w:t>e en la región fronteriza norte</w:t>
      </w:r>
      <w:r>
        <w:rPr>
          <w:rStyle w:val="Refdenotaalpie"/>
          <w:rFonts w:ascii="Century Gothic" w:eastAsia="Calibri" w:hAnsi="Century Gothic" w:cs="Times New Roman"/>
          <w:sz w:val="24"/>
          <w:szCs w:val="24"/>
        </w:rPr>
        <w:footnoteReference w:id="3"/>
      </w:r>
      <w:r>
        <w:rPr>
          <w:rFonts w:ascii="Century Gothic" w:eastAsia="Calibri" w:hAnsi="Century Gothic" w:cs="Times New Roman"/>
          <w:sz w:val="24"/>
          <w:szCs w:val="24"/>
        </w:rPr>
        <w:t>.</w:t>
      </w:r>
    </w:p>
    <w:p w:rsidR="00503A4F" w:rsidRDefault="00503A4F" w:rsidP="00E91D28">
      <w:pPr>
        <w:spacing w:line="360" w:lineRule="auto"/>
        <w:jc w:val="both"/>
        <w:rPr>
          <w:rFonts w:ascii="Century Gothic" w:eastAsia="Calibri" w:hAnsi="Century Gothic" w:cs="Times New Roman"/>
          <w:sz w:val="24"/>
          <w:szCs w:val="24"/>
        </w:rPr>
      </w:pPr>
    </w:p>
    <w:p w:rsidR="00B10BF4" w:rsidRDefault="00B10BF4" w:rsidP="00E91D28">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 xml:space="preserve">Ahora bien, para gozar de los beneficios del programa mencionado se deben de cumplir ciertos requisitos, de los cuales encontramos los siguientes: </w:t>
      </w:r>
    </w:p>
    <w:p w:rsidR="00A31F4E" w:rsidRPr="00A31F4E" w:rsidRDefault="00B10BF4" w:rsidP="00A31F4E">
      <w:pPr>
        <w:pStyle w:val="Prrafodelista"/>
        <w:numPr>
          <w:ilvl w:val="0"/>
          <w:numId w:val="1"/>
        </w:numPr>
        <w:spacing w:line="360" w:lineRule="auto"/>
        <w:jc w:val="both"/>
        <w:rPr>
          <w:rFonts w:ascii="Century Gothic" w:eastAsia="Calibri" w:hAnsi="Century Gothic" w:cs="Times New Roman"/>
          <w:i/>
        </w:rPr>
      </w:pPr>
      <w:r w:rsidRPr="00F06D7C">
        <w:rPr>
          <w:rFonts w:ascii="Century Gothic" w:eastAsia="Calibri" w:hAnsi="Century Gothic" w:cs="Times New Roman"/>
          <w:i/>
        </w:rPr>
        <w:t>Acreditar tener su domicilio fiscal en la región fronteriza norte, por lo menos los últimos 18 meses a la fecha de su inscripción en el “Padrón de beneficiarios del estímulo para la región fronteriza norte”.</w:t>
      </w:r>
    </w:p>
    <w:p w:rsidR="00A31F4E" w:rsidRPr="00A31F4E" w:rsidRDefault="00B10BF4" w:rsidP="00A31F4E">
      <w:pPr>
        <w:pStyle w:val="Prrafodelista"/>
        <w:numPr>
          <w:ilvl w:val="0"/>
          <w:numId w:val="1"/>
        </w:numPr>
        <w:spacing w:line="360" w:lineRule="auto"/>
        <w:jc w:val="both"/>
        <w:rPr>
          <w:rFonts w:ascii="Century Gothic" w:eastAsia="Calibri" w:hAnsi="Century Gothic" w:cs="Times New Roman"/>
          <w:i/>
        </w:rPr>
      </w:pPr>
      <w:r w:rsidRPr="00F06D7C">
        <w:rPr>
          <w:rFonts w:ascii="Century Gothic" w:eastAsia="Calibri" w:hAnsi="Century Gothic" w:cs="Times New Roman"/>
          <w:i/>
        </w:rPr>
        <w:t>No gozar de otro estímulo fiscal.</w:t>
      </w:r>
    </w:p>
    <w:p w:rsidR="00B10BF4" w:rsidRPr="00F06D7C" w:rsidRDefault="00B10BF4" w:rsidP="00B10BF4">
      <w:pPr>
        <w:pStyle w:val="Prrafodelista"/>
        <w:numPr>
          <w:ilvl w:val="0"/>
          <w:numId w:val="1"/>
        </w:numPr>
        <w:spacing w:line="360" w:lineRule="auto"/>
        <w:jc w:val="both"/>
        <w:rPr>
          <w:rFonts w:ascii="Century Gothic" w:eastAsia="Calibri" w:hAnsi="Century Gothic" w:cs="Times New Roman"/>
          <w:i/>
        </w:rPr>
      </w:pPr>
      <w:r w:rsidRPr="00F06D7C">
        <w:rPr>
          <w:rFonts w:ascii="Century Gothic" w:eastAsia="Calibri" w:hAnsi="Century Gothic" w:cs="Times New Roman"/>
          <w:i/>
        </w:rPr>
        <w:t>Solicitar autorización ante el SAT a más tardar el 31 de marzo del ejercicio fiscal de que se trate, para ser inscritos en dicho Padrón. El SAT deberá emitir resolución a la solicitud de autorización, a más tardar dentro del mes siguiente a la fecha de presentación de la solicitud de conformidad con las reglas de</w:t>
      </w:r>
      <w:r w:rsidRPr="00F06D7C">
        <w:rPr>
          <w:i/>
        </w:rPr>
        <w:t xml:space="preserve"> </w:t>
      </w:r>
      <w:r w:rsidRPr="00F06D7C">
        <w:rPr>
          <w:rFonts w:ascii="Century Gothic" w:eastAsia="Calibri" w:hAnsi="Century Gothic" w:cs="Times New Roman"/>
          <w:i/>
        </w:rPr>
        <w:t>carácter general que al efecto se establezcan.</w:t>
      </w:r>
    </w:p>
    <w:p w:rsidR="00B10BF4" w:rsidRPr="00F06D7C" w:rsidRDefault="00B10BF4" w:rsidP="00B10BF4">
      <w:pPr>
        <w:pStyle w:val="Prrafodelista"/>
        <w:numPr>
          <w:ilvl w:val="0"/>
          <w:numId w:val="1"/>
        </w:numPr>
        <w:spacing w:line="360" w:lineRule="auto"/>
        <w:jc w:val="both"/>
        <w:rPr>
          <w:rFonts w:ascii="Century Gothic" w:eastAsia="Calibri" w:hAnsi="Century Gothic" w:cs="Times New Roman"/>
          <w:i/>
        </w:rPr>
      </w:pPr>
      <w:r w:rsidRPr="00F06D7C">
        <w:rPr>
          <w:rFonts w:ascii="Century Gothic" w:eastAsia="Calibri" w:hAnsi="Century Gothic" w:cs="Times New Roman"/>
          <w:i/>
        </w:rPr>
        <w:t>Los contribuyentes que inicien actividades en la región fronteriza norte, podrán optar por solicitar la inscripción al Padrón a fin de que se les autorice aplicar los beneficios fiscales establecidos en el Decreto, siempre y cuando cuenten con la capacidad económica, activos e instalaciones para la realización de sus operaciones y actividades empresariales en dicha</w:t>
      </w:r>
      <w:r w:rsidRPr="00F06D7C">
        <w:rPr>
          <w:i/>
        </w:rPr>
        <w:t xml:space="preserve"> </w:t>
      </w:r>
      <w:r w:rsidRPr="00F06D7C">
        <w:rPr>
          <w:rFonts w:ascii="Century Gothic" w:eastAsia="Calibri" w:hAnsi="Century Gothic" w:cs="Times New Roman"/>
          <w:i/>
        </w:rPr>
        <w:t>región.</w:t>
      </w:r>
    </w:p>
    <w:p w:rsidR="00D77F6E" w:rsidRPr="0049057A" w:rsidRDefault="00B10BF4" w:rsidP="0049057A">
      <w:pPr>
        <w:pStyle w:val="Prrafodelista"/>
        <w:numPr>
          <w:ilvl w:val="0"/>
          <w:numId w:val="1"/>
        </w:numPr>
        <w:spacing w:line="360" w:lineRule="auto"/>
        <w:jc w:val="both"/>
        <w:rPr>
          <w:rFonts w:ascii="Century Gothic" w:eastAsia="Calibri" w:hAnsi="Century Gothic" w:cs="Times New Roman"/>
          <w:i/>
        </w:rPr>
      </w:pPr>
      <w:r w:rsidRPr="00F06D7C">
        <w:rPr>
          <w:rFonts w:ascii="Century Gothic" w:eastAsia="Calibri" w:hAnsi="Century Gothic" w:cs="Times New Roman"/>
          <w:i/>
        </w:rPr>
        <w:t xml:space="preserve">Los contribuyentes que tengan su domicilio fiscal fuera de la región fronteriza norte, pero cuenten con una sucursal, agencia o cualquier otro establecimiento dentro de la misma, para poder gozar de los beneficios fiscales establecidos en el Decreto, deberán acreditar que la misma tiene </w:t>
      </w:r>
      <w:r w:rsidRPr="00F06D7C">
        <w:rPr>
          <w:rFonts w:ascii="Century Gothic" w:eastAsia="Calibri" w:hAnsi="Century Gothic" w:cs="Times New Roman"/>
          <w:i/>
        </w:rPr>
        <w:lastRenderedPageBreak/>
        <w:t>cuando menos dieciocho meses a la fecha de su inscripción en el “Padrón de beneficiarios del estímulo para la región fronteriza norte”.</w:t>
      </w:r>
    </w:p>
    <w:p w:rsidR="00D77F6E" w:rsidRDefault="00F06D7C" w:rsidP="00F06D7C">
      <w:pPr>
        <w:pStyle w:val="Prrafodelista"/>
        <w:numPr>
          <w:ilvl w:val="0"/>
          <w:numId w:val="1"/>
        </w:numPr>
        <w:spacing w:line="360" w:lineRule="auto"/>
        <w:jc w:val="both"/>
        <w:rPr>
          <w:rFonts w:ascii="Century Gothic" w:eastAsia="Calibri" w:hAnsi="Century Gothic" w:cs="Times New Roman"/>
          <w:i/>
        </w:rPr>
      </w:pPr>
      <w:r w:rsidRPr="00F06D7C">
        <w:rPr>
          <w:rFonts w:ascii="Century Gothic" w:eastAsia="Calibri" w:hAnsi="Century Gothic" w:cs="Times New Roman"/>
          <w:i/>
        </w:rPr>
        <w:t>Los contribuyentes que tengan su domicilio fiscal en la región fronteriza norte, pero cuenten con sucursales, agencias o cualquier otro establecimiento fuera de ella, gozarán de los estímulos fiscales establecidos en el presente Decreto, siempre y cuando acrediten tener su domicilio fiscal en la región fronteriza norte, por lo menos los últimos 18 meses a la fecha de su inscripción en el “Padrón de beneficiarios del estímulo para la región</w:t>
      </w:r>
      <w:r w:rsidRPr="00F06D7C">
        <w:rPr>
          <w:i/>
        </w:rPr>
        <w:t xml:space="preserve"> </w:t>
      </w:r>
      <w:r w:rsidRPr="00F06D7C">
        <w:rPr>
          <w:rFonts w:ascii="Century Gothic" w:eastAsia="Calibri" w:hAnsi="Century Gothic" w:cs="Times New Roman"/>
          <w:i/>
        </w:rPr>
        <w:t>fronteriza norte” y únicamente en la proporción que representen los ingresos correspondientes a la sucursal, agencia o cualquier otro establecimiento o a los atribuibles al domicilio fiscal, ubicados en la llamada región fronteriza norte</w:t>
      </w:r>
      <w:r>
        <w:rPr>
          <w:rStyle w:val="Refdenotaalpie"/>
          <w:rFonts w:ascii="Century Gothic" w:eastAsia="Calibri" w:hAnsi="Century Gothic" w:cs="Times New Roman"/>
          <w:i/>
        </w:rPr>
        <w:footnoteReference w:id="4"/>
      </w:r>
      <w:r w:rsidRPr="00F06D7C">
        <w:rPr>
          <w:rFonts w:ascii="Century Gothic" w:eastAsia="Calibri" w:hAnsi="Century Gothic" w:cs="Times New Roman"/>
          <w:i/>
        </w:rPr>
        <w:t>.</w:t>
      </w:r>
    </w:p>
    <w:p w:rsidR="00D77F6E" w:rsidRPr="00D77F6E" w:rsidRDefault="00D77F6E" w:rsidP="00D77F6E">
      <w:pPr>
        <w:pStyle w:val="Prrafodelista"/>
        <w:spacing w:line="360" w:lineRule="auto"/>
        <w:jc w:val="both"/>
        <w:rPr>
          <w:rFonts w:ascii="Century Gothic" w:eastAsia="Calibri" w:hAnsi="Century Gothic" w:cs="Times New Roman"/>
          <w:i/>
        </w:rPr>
      </w:pPr>
    </w:p>
    <w:p w:rsidR="00D77F6E" w:rsidRDefault="00D77F6E" w:rsidP="00F06D7C">
      <w:pPr>
        <w:spacing w:line="360" w:lineRule="auto"/>
        <w:jc w:val="both"/>
        <w:rPr>
          <w:rFonts w:ascii="Century Gothic" w:eastAsia="Calibri" w:hAnsi="Century Gothic" w:cs="Times New Roman"/>
          <w:b/>
          <w:sz w:val="24"/>
          <w:szCs w:val="24"/>
        </w:rPr>
      </w:pPr>
    </w:p>
    <w:p w:rsidR="00F06D7C" w:rsidRDefault="00F06D7C" w:rsidP="00F06D7C">
      <w:pPr>
        <w:spacing w:line="360" w:lineRule="auto"/>
        <w:jc w:val="both"/>
        <w:rPr>
          <w:rFonts w:ascii="Century Gothic" w:eastAsia="Calibri" w:hAnsi="Century Gothic" w:cs="Times New Roman"/>
          <w:sz w:val="24"/>
          <w:szCs w:val="24"/>
        </w:rPr>
      </w:pPr>
      <w:r w:rsidRPr="00F06D7C">
        <w:rPr>
          <w:rFonts w:ascii="Century Gothic" w:eastAsia="Calibri" w:hAnsi="Century Gothic" w:cs="Times New Roman"/>
          <w:b/>
          <w:sz w:val="24"/>
          <w:szCs w:val="24"/>
        </w:rPr>
        <w:t>Tercero.</w:t>
      </w:r>
      <w:r>
        <w:rPr>
          <w:rFonts w:ascii="Century Gothic" w:eastAsia="Calibri" w:hAnsi="Century Gothic" w:cs="Times New Roman"/>
          <w:b/>
          <w:sz w:val="24"/>
          <w:szCs w:val="24"/>
        </w:rPr>
        <w:t xml:space="preserve"> </w:t>
      </w:r>
      <w:r w:rsidR="002F2A12">
        <w:rPr>
          <w:rFonts w:ascii="Century Gothic" w:eastAsia="Calibri" w:hAnsi="Century Gothic" w:cs="Times New Roman"/>
          <w:sz w:val="24"/>
          <w:szCs w:val="24"/>
        </w:rPr>
        <w:t>Como parte del programa de incentivos que el gobierno federal realizo por Decreto, los precios de las Ga</w:t>
      </w:r>
      <w:r w:rsidR="005A4D20">
        <w:rPr>
          <w:rFonts w:ascii="Century Gothic" w:eastAsia="Calibri" w:hAnsi="Century Gothic" w:cs="Times New Roman"/>
          <w:sz w:val="24"/>
          <w:szCs w:val="24"/>
        </w:rPr>
        <w:t>solinas en la franja fronteriza registraron</w:t>
      </w:r>
      <w:r w:rsidR="002F2A12">
        <w:rPr>
          <w:rFonts w:ascii="Century Gothic" w:eastAsia="Calibri" w:hAnsi="Century Gothic" w:cs="Times New Roman"/>
          <w:sz w:val="24"/>
          <w:szCs w:val="24"/>
        </w:rPr>
        <w:t xml:space="preserve"> una disminución en comparación a los precios de noviembre y dic</w:t>
      </w:r>
      <w:r w:rsidR="005A4D20">
        <w:rPr>
          <w:rFonts w:ascii="Century Gothic" w:eastAsia="Calibri" w:hAnsi="Century Gothic" w:cs="Times New Roman"/>
          <w:sz w:val="24"/>
          <w:szCs w:val="24"/>
        </w:rPr>
        <w:t>iembre de 2018. Fue a partir del 01 de enero de 2019, que los precios bajaron. Por citar algunos casos, la cotización mínima en Acuña llego a 11.62 pesos por litro de gasolina, 12 pesos en Ciudad Juárez y de 13 pesos en Reynosa</w:t>
      </w:r>
      <w:r w:rsidR="003104BC">
        <w:rPr>
          <w:rStyle w:val="Refdenotaalpie"/>
          <w:rFonts w:ascii="Century Gothic" w:eastAsia="Calibri" w:hAnsi="Century Gothic" w:cs="Times New Roman"/>
          <w:sz w:val="24"/>
          <w:szCs w:val="24"/>
        </w:rPr>
        <w:footnoteReference w:id="5"/>
      </w:r>
      <w:r w:rsidR="005A4D20">
        <w:rPr>
          <w:rFonts w:ascii="Century Gothic" w:eastAsia="Calibri" w:hAnsi="Century Gothic" w:cs="Times New Roman"/>
          <w:sz w:val="24"/>
          <w:szCs w:val="24"/>
        </w:rPr>
        <w:t xml:space="preserve">. Los precios no sólo quedaron ahí, sino en varios otros lugares como se puede apreciar en la siguiente imagen:  </w:t>
      </w:r>
    </w:p>
    <w:p w:rsidR="00327155" w:rsidRDefault="00327155" w:rsidP="00F06D7C">
      <w:pPr>
        <w:spacing w:line="360" w:lineRule="auto"/>
        <w:jc w:val="both"/>
        <w:rPr>
          <w:rFonts w:ascii="Century Gothic" w:eastAsia="Calibri" w:hAnsi="Century Gothic" w:cs="Times New Roman"/>
          <w:sz w:val="24"/>
          <w:szCs w:val="24"/>
        </w:rPr>
      </w:pPr>
    </w:p>
    <w:p w:rsidR="0049057A" w:rsidRDefault="0049057A" w:rsidP="00F06D7C">
      <w:pPr>
        <w:spacing w:line="360" w:lineRule="auto"/>
        <w:jc w:val="both"/>
        <w:rPr>
          <w:rFonts w:ascii="Century Gothic" w:eastAsia="Calibri" w:hAnsi="Century Gothic" w:cs="Times New Roman"/>
          <w:sz w:val="24"/>
          <w:szCs w:val="24"/>
        </w:rPr>
      </w:pPr>
    </w:p>
    <w:p w:rsidR="00327155" w:rsidRDefault="00D77F6E" w:rsidP="00F06D7C">
      <w:pPr>
        <w:spacing w:line="360" w:lineRule="auto"/>
        <w:jc w:val="both"/>
        <w:rPr>
          <w:rFonts w:ascii="Century Gothic" w:eastAsia="Calibri" w:hAnsi="Century Gothic" w:cs="Times New Roman"/>
          <w:sz w:val="24"/>
          <w:szCs w:val="24"/>
        </w:rPr>
      </w:pPr>
      <w:r>
        <w:rPr>
          <w:noProof/>
          <w:lang w:eastAsia="es-MX"/>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5714</wp:posOffset>
            </wp:positionV>
            <wp:extent cx="5618480" cy="2847975"/>
            <wp:effectExtent l="0" t="0" r="127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257" t="31080" r="37372" b="25898"/>
                    <a:stretch/>
                  </pic:blipFill>
                  <pic:spPr bwMode="auto">
                    <a:xfrm>
                      <a:off x="0" y="0"/>
                      <a:ext cx="5618950" cy="2848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3A4F" w:rsidRDefault="00503A4F" w:rsidP="00F06D7C">
      <w:pPr>
        <w:spacing w:line="360" w:lineRule="auto"/>
        <w:jc w:val="both"/>
        <w:rPr>
          <w:rFonts w:ascii="Century Gothic" w:eastAsia="Calibri" w:hAnsi="Century Gothic" w:cs="Times New Roman"/>
          <w:sz w:val="24"/>
          <w:szCs w:val="24"/>
        </w:rPr>
      </w:pPr>
    </w:p>
    <w:p w:rsidR="00D77F6E" w:rsidRDefault="00D77F6E" w:rsidP="00F06D7C">
      <w:pPr>
        <w:spacing w:line="360" w:lineRule="auto"/>
        <w:jc w:val="both"/>
        <w:rPr>
          <w:rFonts w:ascii="Century Gothic" w:eastAsia="Calibri" w:hAnsi="Century Gothic" w:cs="Times New Roman"/>
          <w:i/>
          <w:sz w:val="18"/>
          <w:szCs w:val="18"/>
        </w:rPr>
      </w:pPr>
    </w:p>
    <w:p w:rsidR="00D77F6E" w:rsidRDefault="00D77F6E" w:rsidP="00F06D7C">
      <w:pPr>
        <w:spacing w:line="360" w:lineRule="auto"/>
        <w:jc w:val="both"/>
        <w:rPr>
          <w:rFonts w:ascii="Century Gothic" w:eastAsia="Calibri" w:hAnsi="Century Gothic" w:cs="Times New Roman"/>
          <w:i/>
          <w:sz w:val="18"/>
          <w:szCs w:val="18"/>
        </w:rPr>
      </w:pPr>
    </w:p>
    <w:p w:rsidR="00D77F6E" w:rsidRDefault="00D77F6E" w:rsidP="00F06D7C">
      <w:pPr>
        <w:spacing w:line="360" w:lineRule="auto"/>
        <w:jc w:val="both"/>
        <w:rPr>
          <w:rFonts w:ascii="Century Gothic" w:eastAsia="Calibri" w:hAnsi="Century Gothic" w:cs="Times New Roman"/>
          <w:i/>
          <w:sz w:val="18"/>
          <w:szCs w:val="18"/>
        </w:rPr>
      </w:pPr>
    </w:p>
    <w:p w:rsidR="00D77F6E" w:rsidRDefault="00D77F6E" w:rsidP="00F06D7C">
      <w:pPr>
        <w:spacing w:line="360" w:lineRule="auto"/>
        <w:jc w:val="both"/>
        <w:rPr>
          <w:rFonts w:ascii="Century Gothic" w:eastAsia="Calibri" w:hAnsi="Century Gothic" w:cs="Times New Roman"/>
          <w:i/>
          <w:sz w:val="18"/>
          <w:szCs w:val="18"/>
        </w:rPr>
      </w:pPr>
    </w:p>
    <w:p w:rsidR="00D77F6E" w:rsidRDefault="00D77F6E" w:rsidP="00F06D7C">
      <w:pPr>
        <w:spacing w:line="360" w:lineRule="auto"/>
        <w:jc w:val="both"/>
        <w:rPr>
          <w:rFonts w:ascii="Century Gothic" w:eastAsia="Calibri" w:hAnsi="Century Gothic" w:cs="Times New Roman"/>
          <w:i/>
          <w:sz w:val="18"/>
          <w:szCs w:val="18"/>
        </w:rPr>
      </w:pPr>
    </w:p>
    <w:p w:rsidR="00D77F6E" w:rsidRDefault="00D77F6E" w:rsidP="00F06D7C">
      <w:pPr>
        <w:spacing w:line="360" w:lineRule="auto"/>
        <w:jc w:val="both"/>
        <w:rPr>
          <w:rFonts w:ascii="Century Gothic" w:eastAsia="Calibri" w:hAnsi="Century Gothic" w:cs="Times New Roman"/>
          <w:i/>
          <w:sz w:val="18"/>
          <w:szCs w:val="18"/>
        </w:rPr>
      </w:pPr>
    </w:p>
    <w:p w:rsidR="00D77F6E" w:rsidRDefault="00D77F6E" w:rsidP="00F06D7C">
      <w:pPr>
        <w:spacing w:line="360" w:lineRule="auto"/>
        <w:jc w:val="both"/>
        <w:rPr>
          <w:rFonts w:ascii="Century Gothic" w:eastAsia="Calibri" w:hAnsi="Century Gothic" w:cs="Times New Roman"/>
          <w:i/>
          <w:sz w:val="18"/>
          <w:szCs w:val="18"/>
        </w:rPr>
      </w:pPr>
    </w:p>
    <w:p w:rsidR="00646F69" w:rsidRPr="00B868E8" w:rsidRDefault="00B868E8" w:rsidP="00F06D7C">
      <w:pPr>
        <w:spacing w:line="360" w:lineRule="auto"/>
        <w:jc w:val="both"/>
        <w:rPr>
          <w:rFonts w:ascii="Century Gothic" w:eastAsia="Calibri" w:hAnsi="Century Gothic" w:cs="Times New Roman"/>
          <w:i/>
          <w:sz w:val="18"/>
          <w:szCs w:val="18"/>
        </w:rPr>
      </w:pPr>
      <w:r w:rsidRPr="00B868E8">
        <w:rPr>
          <w:rFonts w:ascii="Century Gothic" w:eastAsia="Calibri" w:hAnsi="Century Gothic" w:cs="Times New Roman"/>
          <w:i/>
          <w:sz w:val="18"/>
          <w:szCs w:val="18"/>
        </w:rPr>
        <w:t xml:space="preserve">Fuente: El Economista </w:t>
      </w:r>
    </w:p>
    <w:p w:rsidR="00327155" w:rsidRDefault="00327155"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Cabe considerar que los precios se verán a la baja</w:t>
      </w:r>
      <w:r w:rsidR="00356B99">
        <w:rPr>
          <w:rFonts w:ascii="Century Gothic" w:eastAsia="Calibri" w:hAnsi="Century Gothic" w:cs="Times New Roman"/>
          <w:sz w:val="24"/>
          <w:szCs w:val="24"/>
        </w:rPr>
        <w:t xml:space="preserve"> en el transcurso del</w:t>
      </w:r>
      <w:r w:rsidR="00F71871">
        <w:rPr>
          <w:rFonts w:ascii="Century Gothic" w:eastAsia="Calibri" w:hAnsi="Century Gothic" w:cs="Times New Roman"/>
          <w:sz w:val="24"/>
          <w:szCs w:val="24"/>
        </w:rPr>
        <w:t xml:space="preserve"> sexenio</w:t>
      </w:r>
      <w:r w:rsidR="00356B99">
        <w:rPr>
          <w:rFonts w:ascii="Century Gothic" w:eastAsia="Calibri" w:hAnsi="Century Gothic" w:cs="Times New Roman"/>
          <w:sz w:val="24"/>
          <w:szCs w:val="24"/>
        </w:rPr>
        <w:t>, así como en</w:t>
      </w:r>
      <w:r>
        <w:rPr>
          <w:rFonts w:ascii="Century Gothic" w:eastAsia="Calibri" w:hAnsi="Century Gothic" w:cs="Times New Roman"/>
          <w:sz w:val="24"/>
          <w:szCs w:val="24"/>
        </w:rPr>
        <w:t xml:space="preserve"> cuanto se tomen otras acciones que el presidente de la República</w:t>
      </w:r>
      <w:r w:rsidR="00356B99">
        <w:rPr>
          <w:rFonts w:ascii="Century Gothic" w:eastAsia="Calibri" w:hAnsi="Century Gothic" w:cs="Times New Roman"/>
          <w:sz w:val="24"/>
          <w:szCs w:val="24"/>
        </w:rPr>
        <w:t xml:space="preserve"> </w:t>
      </w:r>
      <w:r w:rsidR="00F71871">
        <w:rPr>
          <w:rFonts w:ascii="Century Gothic" w:eastAsia="Calibri" w:hAnsi="Century Gothic" w:cs="Times New Roman"/>
          <w:sz w:val="24"/>
          <w:szCs w:val="24"/>
        </w:rPr>
        <w:t xml:space="preserve">de como instrucciones </w:t>
      </w:r>
      <w:r w:rsidR="00356B99">
        <w:rPr>
          <w:rFonts w:ascii="Century Gothic" w:eastAsia="Calibri" w:hAnsi="Century Gothic" w:cs="Times New Roman"/>
          <w:sz w:val="24"/>
          <w:szCs w:val="24"/>
        </w:rPr>
        <w:t>para favorecer a todos los estados en cuanto a hidrocarburos de refiere.</w:t>
      </w:r>
    </w:p>
    <w:p w:rsidR="00356B99" w:rsidRDefault="00356B99" w:rsidP="00F06D7C">
      <w:pPr>
        <w:spacing w:line="360" w:lineRule="auto"/>
        <w:jc w:val="both"/>
        <w:rPr>
          <w:rFonts w:ascii="Century Gothic" w:eastAsia="Calibri" w:hAnsi="Century Gothic" w:cs="Times New Roman"/>
          <w:sz w:val="24"/>
          <w:szCs w:val="24"/>
        </w:rPr>
      </w:pPr>
    </w:p>
    <w:p w:rsidR="00503A4F" w:rsidRDefault="00327155" w:rsidP="00F06D7C">
      <w:pPr>
        <w:spacing w:line="360" w:lineRule="auto"/>
        <w:jc w:val="both"/>
        <w:rPr>
          <w:rFonts w:ascii="Century Gothic" w:eastAsia="Calibri" w:hAnsi="Century Gothic" w:cs="Times New Roman"/>
          <w:sz w:val="24"/>
          <w:szCs w:val="24"/>
        </w:rPr>
      </w:pPr>
      <w:r w:rsidRPr="00327155">
        <w:rPr>
          <w:rFonts w:ascii="Century Gothic" w:eastAsia="Calibri" w:hAnsi="Century Gothic" w:cs="Times New Roman"/>
          <w:b/>
          <w:sz w:val="24"/>
          <w:szCs w:val="24"/>
        </w:rPr>
        <w:t>Cuarto.</w:t>
      </w:r>
      <w:r>
        <w:rPr>
          <w:rFonts w:ascii="Century Gothic" w:eastAsia="Calibri" w:hAnsi="Century Gothic" w:cs="Times New Roman"/>
          <w:b/>
          <w:sz w:val="24"/>
          <w:szCs w:val="24"/>
        </w:rPr>
        <w:t xml:space="preserve"> </w:t>
      </w:r>
      <w:r w:rsidR="00356B99">
        <w:rPr>
          <w:rFonts w:ascii="Century Gothic" w:eastAsia="Calibri" w:hAnsi="Century Gothic" w:cs="Times New Roman"/>
          <w:sz w:val="24"/>
          <w:szCs w:val="24"/>
        </w:rPr>
        <w:t>Otro de los beneficios que se tiene en la frontera norte y que forma parte del Plan de la Zona Fronteriza que por Decreto del titular</w:t>
      </w:r>
      <w:r w:rsidR="00F71871">
        <w:rPr>
          <w:rFonts w:ascii="Century Gothic" w:eastAsia="Calibri" w:hAnsi="Century Gothic" w:cs="Times New Roman"/>
          <w:sz w:val="24"/>
          <w:szCs w:val="24"/>
        </w:rPr>
        <w:t xml:space="preserve"> del Ejecutivo Federal realizó,</w:t>
      </w:r>
      <w:r w:rsidR="0049057A">
        <w:rPr>
          <w:rFonts w:ascii="Century Gothic" w:eastAsia="Calibri" w:hAnsi="Century Gothic" w:cs="Times New Roman"/>
          <w:sz w:val="24"/>
          <w:szCs w:val="24"/>
        </w:rPr>
        <w:t xml:space="preserve"> </w:t>
      </w:r>
      <w:r w:rsidR="00356B99">
        <w:rPr>
          <w:rFonts w:ascii="Century Gothic" w:eastAsia="Calibri" w:hAnsi="Century Gothic" w:cs="Times New Roman"/>
          <w:sz w:val="24"/>
          <w:szCs w:val="24"/>
        </w:rPr>
        <w:t xml:space="preserve">fue aumentar el salario mínimo. </w:t>
      </w:r>
      <w:r w:rsidR="00433428">
        <w:rPr>
          <w:rFonts w:ascii="Century Gothic" w:eastAsia="Calibri" w:hAnsi="Century Gothic" w:cs="Times New Roman"/>
          <w:sz w:val="24"/>
          <w:szCs w:val="24"/>
        </w:rPr>
        <w:t xml:space="preserve">El gobierno federal anunció que el Salario Mínimo General Nacional para el año 2019 sería de </w:t>
      </w:r>
      <w:r w:rsidR="00E47C87">
        <w:rPr>
          <w:rFonts w:ascii="Century Gothic" w:eastAsia="Calibri" w:hAnsi="Century Gothic" w:cs="Times New Roman"/>
          <w:sz w:val="24"/>
          <w:szCs w:val="24"/>
        </w:rPr>
        <w:t>$</w:t>
      </w:r>
      <w:r w:rsidR="00433428">
        <w:rPr>
          <w:rFonts w:ascii="Century Gothic" w:eastAsia="Calibri" w:hAnsi="Century Gothic" w:cs="Times New Roman"/>
          <w:sz w:val="24"/>
          <w:szCs w:val="24"/>
        </w:rPr>
        <w:t xml:space="preserve">102.68 pesos diarios, frente a los </w:t>
      </w:r>
      <w:r w:rsidR="00E47C87">
        <w:rPr>
          <w:rFonts w:ascii="Century Gothic" w:eastAsia="Calibri" w:hAnsi="Century Gothic" w:cs="Times New Roman"/>
          <w:sz w:val="24"/>
          <w:szCs w:val="24"/>
        </w:rPr>
        <w:t>$</w:t>
      </w:r>
      <w:r w:rsidR="00433428">
        <w:rPr>
          <w:rFonts w:ascii="Century Gothic" w:eastAsia="Calibri" w:hAnsi="Century Gothic" w:cs="Times New Roman"/>
          <w:sz w:val="24"/>
          <w:szCs w:val="24"/>
        </w:rPr>
        <w:t>88.3</w:t>
      </w:r>
      <w:r w:rsidR="00EC3290">
        <w:rPr>
          <w:rFonts w:ascii="Century Gothic" w:eastAsia="Calibri" w:hAnsi="Century Gothic" w:cs="Times New Roman"/>
          <w:sz w:val="24"/>
          <w:szCs w:val="24"/>
        </w:rPr>
        <w:t>6</w:t>
      </w:r>
      <w:r w:rsidR="00433428">
        <w:rPr>
          <w:rFonts w:ascii="Century Gothic" w:eastAsia="Calibri" w:hAnsi="Century Gothic" w:cs="Times New Roman"/>
          <w:sz w:val="24"/>
          <w:szCs w:val="24"/>
        </w:rPr>
        <w:t xml:space="preserve"> pesos que hasta 2018 seguía vigente. Para el caso de </w:t>
      </w:r>
      <w:r w:rsidR="00E30035">
        <w:rPr>
          <w:rFonts w:ascii="Century Gothic" w:eastAsia="Calibri" w:hAnsi="Century Gothic" w:cs="Times New Roman"/>
          <w:sz w:val="24"/>
          <w:szCs w:val="24"/>
        </w:rPr>
        <w:t>la frontera norte</w:t>
      </w:r>
      <w:r w:rsidR="00433428">
        <w:rPr>
          <w:rFonts w:ascii="Century Gothic" w:eastAsia="Calibri" w:hAnsi="Century Gothic" w:cs="Times New Roman"/>
          <w:sz w:val="24"/>
          <w:szCs w:val="24"/>
        </w:rPr>
        <w:t xml:space="preserve"> fue diferente</w:t>
      </w:r>
      <w:r w:rsidR="00E30035">
        <w:rPr>
          <w:rFonts w:ascii="Century Gothic" w:eastAsia="Calibri" w:hAnsi="Century Gothic" w:cs="Times New Roman"/>
          <w:sz w:val="24"/>
          <w:szCs w:val="24"/>
        </w:rPr>
        <w:t xml:space="preserve">, pues en esta zona el aumento fue del 100%, es decir, paso a </w:t>
      </w:r>
      <w:r w:rsidR="00E47C87">
        <w:rPr>
          <w:rFonts w:ascii="Century Gothic" w:eastAsia="Calibri" w:hAnsi="Century Gothic" w:cs="Times New Roman"/>
          <w:sz w:val="24"/>
          <w:szCs w:val="24"/>
        </w:rPr>
        <w:t>$</w:t>
      </w:r>
      <w:r w:rsidR="00E30035">
        <w:rPr>
          <w:rFonts w:ascii="Century Gothic" w:eastAsia="Calibri" w:hAnsi="Century Gothic" w:cs="Times New Roman"/>
          <w:sz w:val="24"/>
          <w:szCs w:val="24"/>
        </w:rPr>
        <w:t>176.72</w:t>
      </w:r>
      <w:r w:rsidR="00D77F6E">
        <w:rPr>
          <w:rFonts w:ascii="Century Gothic" w:eastAsia="Calibri" w:hAnsi="Century Gothic" w:cs="Times New Roman"/>
          <w:sz w:val="24"/>
          <w:szCs w:val="24"/>
        </w:rPr>
        <w:t>.</w:t>
      </w:r>
    </w:p>
    <w:p w:rsidR="00506A76" w:rsidRDefault="00506A76" w:rsidP="00F06D7C">
      <w:pPr>
        <w:spacing w:line="360" w:lineRule="auto"/>
        <w:jc w:val="both"/>
        <w:rPr>
          <w:rFonts w:ascii="Century Gothic" w:eastAsia="Calibri" w:hAnsi="Century Gothic" w:cs="Times New Roman"/>
          <w:sz w:val="24"/>
          <w:szCs w:val="24"/>
        </w:rPr>
      </w:pPr>
    </w:p>
    <w:p w:rsidR="00506A76" w:rsidRDefault="00506A76"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lastRenderedPageBreak/>
        <w:t>En este sentido, la Comisión Económica para América latina y el Caribe (CEPAL), tiene datos precisos que muestran que países como Argentina, Brasil, Chile o Uruguay alcanzan mejores salarios y con ello una caída de la desigualdad social. Nuestro país es el único de Hispanoamérica donde el salario mínimo es inferior (0.66 veces) al umbral de la pobreza, lo que se traduce en que México es el único país en el que los indicadores de pobreza e indigencia van en aumento.</w:t>
      </w:r>
      <w:r w:rsidR="00646F69">
        <w:rPr>
          <w:rFonts w:ascii="Century Gothic" w:eastAsia="Calibri" w:hAnsi="Century Gothic" w:cs="Times New Roman"/>
          <w:sz w:val="24"/>
          <w:szCs w:val="24"/>
        </w:rPr>
        <w:t xml:space="preserve"> </w:t>
      </w:r>
    </w:p>
    <w:p w:rsidR="00646F69" w:rsidRDefault="00646F69" w:rsidP="00F06D7C">
      <w:pPr>
        <w:spacing w:line="360" w:lineRule="auto"/>
        <w:jc w:val="both"/>
        <w:rPr>
          <w:rFonts w:ascii="Century Gothic" w:eastAsia="Calibri" w:hAnsi="Century Gothic" w:cs="Times New Roman"/>
          <w:sz w:val="24"/>
          <w:szCs w:val="24"/>
        </w:rPr>
      </w:pPr>
    </w:p>
    <w:p w:rsidR="00E47C87" w:rsidRDefault="00646F69"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En este orden de ideas, el salario mínimo general diario en el país está fijado en 88.36 pesos; es decir, 2686.14 mensuales, que da como resultado como uno de los más bajos en América Latina y el Caribe. México es el único país en la región en donde el salario real mantiene a los trabajadores en un estado permanente de pobreza y no alcanza a cubrir las necesidades básicas de una persona media.</w:t>
      </w:r>
    </w:p>
    <w:p w:rsidR="00646F69" w:rsidRDefault="00646F69" w:rsidP="00F06D7C">
      <w:pPr>
        <w:spacing w:line="360" w:lineRule="auto"/>
        <w:jc w:val="both"/>
        <w:rPr>
          <w:rFonts w:ascii="Century Gothic" w:eastAsia="Calibri" w:hAnsi="Century Gothic" w:cs="Times New Roman"/>
          <w:sz w:val="24"/>
          <w:szCs w:val="24"/>
        </w:rPr>
      </w:pPr>
    </w:p>
    <w:p w:rsidR="00E47C87" w:rsidRDefault="00EC3290"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El objetivo de aumentar el salario al doble en la zona fronteriza</w:t>
      </w:r>
      <w:r w:rsidR="00AC3E1E">
        <w:rPr>
          <w:rFonts w:ascii="Century Gothic" w:eastAsia="Calibri" w:hAnsi="Century Gothic" w:cs="Times New Roman"/>
          <w:sz w:val="24"/>
          <w:szCs w:val="24"/>
        </w:rPr>
        <w:t xml:space="preserve"> </w:t>
      </w:r>
      <w:r w:rsidR="00E6647E">
        <w:rPr>
          <w:rFonts w:ascii="Century Gothic" w:eastAsia="Calibri" w:hAnsi="Century Gothic" w:cs="Times New Roman"/>
          <w:sz w:val="24"/>
          <w:szCs w:val="24"/>
        </w:rPr>
        <w:t>fue</w:t>
      </w:r>
      <w:r w:rsidR="00AC3E1E">
        <w:rPr>
          <w:rFonts w:ascii="Century Gothic" w:eastAsia="Calibri" w:hAnsi="Century Gothic" w:cs="Times New Roman"/>
          <w:sz w:val="24"/>
          <w:szCs w:val="24"/>
        </w:rPr>
        <w:t xml:space="preserve"> para fortalecer en primera instancia la economía de las y los ciudadanos de la región norte, así como tener un mayor poder adq</w:t>
      </w:r>
      <w:r w:rsidR="00E6647E">
        <w:rPr>
          <w:rFonts w:ascii="Century Gothic" w:eastAsia="Calibri" w:hAnsi="Century Gothic" w:cs="Times New Roman"/>
          <w:sz w:val="24"/>
          <w:szCs w:val="24"/>
        </w:rPr>
        <w:t xml:space="preserve">uisitivo en bienes y servicios y , por otra parte,  </w:t>
      </w:r>
      <w:r w:rsidR="00AC3E1E">
        <w:rPr>
          <w:rFonts w:ascii="Century Gothic" w:eastAsia="Calibri" w:hAnsi="Century Gothic" w:cs="Times New Roman"/>
          <w:sz w:val="24"/>
          <w:szCs w:val="24"/>
        </w:rPr>
        <w:t xml:space="preserve">mantener el consumo del lado mexicano y evitar la fuga de capital hacia los Estados Unidos, ya que </w:t>
      </w:r>
      <w:r w:rsidR="00E6647E">
        <w:rPr>
          <w:rFonts w:ascii="Century Gothic" w:eastAsia="Calibri" w:hAnsi="Century Gothic" w:cs="Times New Roman"/>
          <w:sz w:val="24"/>
          <w:szCs w:val="24"/>
        </w:rPr>
        <w:t xml:space="preserve">existen </w:t>
      </w:r>
      <w:r w:rsidR="00AC3E1E">
        <w:rPr>
          <w:rFonts w:ascii="Century Gothic" w:eastAsia="Calibri" w:hAnsi="Century Gothic" w:cs="Times New Roman"/>
          <w:sz w:val="24"/>
          <w:szCs w:val="24"/>
        </w:rPr>
        <w:t xml:space="preserve">datos </w:t>
      </w:r>
      <w:r w:rsidR="00E6647E">
        <w:rPr>
          <w:rFonts w:ascii="Century Gothic" w:eastAsia="Calibri" w:hAnsi="Century Gothic" w:cs="Times New Roman"/>
          <w:sz w:val="24"/>
          <w:szCs w:val="24"/>
        </w:rPr>
        <w:t xml:space="preserve">que evidencian que los </w:t>
      </w:r>
      <w:r w:rsidR="00AC3E1E">
        <w:rPr>
          <w:rFonts w:ascii="Century Gothic" w:eastAsia="Calibri" w:hAnsi="Century Gothic" w:cs="Times New Roman"/>
          <w:sz w:val="24"/>
          <w:szCs w:val="24"/>
        </w:rPr>
        <w:t xml:space="preserve">habitantes </w:t>
      </w:r>
      <w:r w:rsidR="00E6647E">
        <w:rPr>
          <w:rFonts w:ascii="Century Gothic" w:eastAsia="Calibri" w:hAnsi="Century Gothic" w:cs="Times New Roman"/>
          <w:sz w:val="24"/>
          <w:szCs w:val="24"/>
        </w:rPr>
        <w:t xml:space="preserve">prefieren </w:t>
      </w:r>
      <w:r w:rsidR="00AC3E1E">
        <w:rPr>
          <w:rFonts w:ascii="Century Gothic" w:eastAsia="Calibri" w:hAnsi="Century Gothic" w:cs="Times New Roman"/>
          <w:sz w:val="24"/>
          <w:szCs w:val="24"/>
        </w:rPr>
        <w:t xml:space="preserve">pasar a </w:t>
      </w:r>
      <w:r w:rsidR="00E6647E">
        <w:rPr>
          <w:rFonts w:ascii="Century Gothic" w:eastAsia="Calibri" w:hAnsi="Century Gothic" w:cs="Times New Roman"/>
          <w:sz w:val="24"/>
          <w:szCs w:val="24"/>
        </w:rPr>
        <w:t xml:space="preserve">los </w:t>
      </w:r>
      <w:r w:rsidR="00AC3E1E">
        <w:rPr>
          <w:rFonts w:ascii="Century Gothic" w:eastAsia="Calibri" w:hAnsi="Century Gothic" w:cs="Times New Roman"/>
          <w:sz w:val="24"/>
          <w:szCs w:val="24"/>
        </w:rPr>
        <w:t>Estados Unidos</w:t>
      </w:r>
      <w:r w:rsidR="00E6647E">
        <w:rPr>
          <w:rFonts w:ascii="Century Gothic" w:eastAsia="Calibri" w:hAnsi="Century Gothic" w:cs="Times New Roman"/>
          <w:sz w:val="24"/>
          <w:szCs w:val="24"/>
        </w:rPr>
        <w:t xml:space="preserve"> para realizar compras</w:t>
      </w:r>
      <w:r w:rsidR="00E47C87">
        <w:rPr>
          <w:rFonts w:ascii="Century Gothic" w:eastAsia="Calibri" w:hAnsi="Century Gothic" w:cs="Times New Roman"/>
          <w:sz w:val="24"/>
          <w:szCs w:val="24"/>
        </w:rPr>
        <w:t xml:space="preserve"> con precios relativamente bajos en comparación con los de México </w:t>
      </w:r>
      <w:r w:rsidR="00E6647E">
        <w:rPr>
          <w:rFonts w:ascii="Century Gothic" w:eastAsia="Calibri" w:hAnsi="Century Gothic" w:cs="Times New Roman"/>
          <w:sz w:val="24"/>
          <w:szCs w:val="24"/>
        </w:rPr>
        <w:t xml:space="preserve">y </w:t>
      </w:r>
      <w:r w:rsidR="00E47C87">
        <w:rPr>
          <w:rFonts w:ascii="Century Gothic" w:eastAsia="Calibri" w:hAnsi="Century Gothic" w:cs="Times New Roman"/>
          <w:sz w:val="24"/>
          <w:szCs w:val="24"/>
        </w:rPr>
        <w:t xml:space="preserve">sobre todo tratándose principalmente de </w:t>
      </w:r>
      <w:r w:rsidR="00AC3E1E">
        <w:rPr>
          <w:rFonts w:ascii="Century Gothic" w:eastAsia="Calibri" w:hAnsi="Century Gothic" w:cs="Times New Roman"/>
          <w:sz w:val="24"/>
          <w:szCs w:val="24"/>
        </w:rPr>
        <w:t>gasolina y otros productos para su consumo.</w:t>
      </w:r>
    </w:p>
    <w:p w:rsidR="00646F69" w:rsidRDefault="00646F69" w:rsidP="00F06D7C">
      <w:pPr>
        <w:spacing w:line="360" w:lineRule="auto"/>
        <w:jc w:val="both"/>
        <w:rPr>
          <w:rFonts w:ascii="Century Gothic" w:eastAsia="Calibri" w:hAnsi="Century Gothic" w:cs="Times New Roman"/>
          <w:b/>
          <w:sz w:val="24"/>
          <w:szCs w:val="24"/>
        </w:rPr>
      </w:pPr>
    </w:p>
    <w:p w:rsidR="00A31F4E" w:rsidRDefault="00E6647E" w:rsidP="00F06D7C">
      <w:pPr>
        <w:spacing w:line="360" w:lineRule="auto"/>
        <w:jc w:val="both"/>
        <w:rPr>
          <w:rFonts w:ascii="Century Gothic" w:eastAsia="Calibri" w:hAnsi="Century Gothic" w:cs="Times New Roman"/>
          <w:sz w:val="24"/>
          <w:szCs w:val="24"/>
        </w:rPr>
      </w:pPr>
      <w:r w:rsidRPr="00E6647E">
        <w:rPr>
          <w:rFonts w:ascii="Century Gothic" w:eastAsia="Calibri" w:hAnsi="Century Gothic" w:cs="Times New Roman"/>
          <w:b/>
          <w:sz w:val="24"/>
          <w:szCs w:val="24"/>
        </w:rPr>
        <w:lastRenderedPageBreak/>
        <w:t>Quinto.</w:t>
      </w:r>
      <w:r>
        <w:rPr>
          <w:rFonts w:ascii="Century Gothic" w:eastAsia="Calibri" w:hAnsi="Century Gothic" w:cs="Times New Roman"/>
          <w:b/>
          <w:sz w:val="24"/>
          <w:szCs w:val="24"/>
        </w:rPr>
        <w:t xml:space="preserve"> </w:t>
      </w:r>
      <w:r>
        <w:rPr>
          <w:rFonts w:ascii="Century Gothic" w:eastAsia="Calibri" w:hAnsi="Century Gothic" w:cs="Times New Roman"/>
          <w:sz w:val="24"/>
          <w:szCs w:val="24"/>
        </w:rPr>
        <w:t xml:space="preserve">Derivado de las diversas acciones y estrategias que ha tomado el gobierno federal y las cuales comenzaron a verse reflejadas a partir de 01 de enero de 2019, dan como resultado que el análisis a esta proposición quede sin efectos en algunos casos. Ya que los integrantes de esta Comisión </w:t>
      </w:r>
      <w:r w:rsidR="00744A6A">
        <w:rPr>
          <w:rFonts w:ascii="Century Gothic" w:eastAsia="Calibri" w:hAnsi="Century Gothic" w:cs="Times New Roman"/>
          <w:sz w:val="24"/>
          <w:szCs w:val="24"/>
        </w:rPr>
        <w:t xml:space="preserve">estamos conscientes de que en el Decreto presentado para la Zona libre de la frontera norte han quedado excluidas algunos municipios </w:t>
      </w:r>
      <w:r w:rsidR="001D7D87">
        <w:rPr>
          <w:rFonts w:ascii="Century Gothic" w:eastAsia="Calibri" w:hAnsi="Century Gothic" w:cs="Times New Roman"/>
          <w:sz w:val="24"/>
          <w:szCs w:val="24"/>
        </w:rPr>
        <w:t>que,</w:t>
      </w:r>
      <w:r w:rsidR="00744A6A">
        <w:rPr>
          <w:rFonts w:ascii="Century Gothic" w:eastAsia="Calibri" w:hAnsi="Century Gothic" w:cs="Times New Roman"/>
          <w:sz w:val="24"/>
          <w:szCs w:val="24"/>
        </w:rPr>
        <w:t xml:space="preserve"> </w:t>
      </w:r>
      <w:r w:rsidR="001D7D87">
        <w:rPr>
          <w:rFonts w:ascii="Century Gothic" w:eastAsia="Calibri" w:hAnsi="Century Gothic" w:cs="Times New Roman"/>
          <w:sz w:val="24"/>
          <w:szCs w:val="24"/>
        </w:rPr>
        <w:t>aunque muy</w:t>
      </w:r>
      <w:r w:rsidR="00744A6A">
        <w:rPr>
          <w:rFonts w:ascii="Century Gothic" w:eastAsia="Calibri" w:hAnsi="Century Gothic" w:cs="Times New Roman"/>
          <w:sz w:val="24"/>
          <w:szCs w:val="24"/>
        </w:rPr>
        <w:t xml:space="preserve"> cercanos a la franja fronteriza</w:t>
      </w:r>
      <w:r w:rsidR="00E47C87">
        <w:rPr>
          <w:rFonts w:ascii="Century Gothic" w:eastAsia="Calibri" w:hAnsi="Century Gothic" w:cs="Times New Roman"/>
          <w:sz w:val="24"/>
          <w:szCs w:val="24"/>
        </w:rPr>
        <w:t>,</w:t>
      </w:r>
      <w:r w:rsidR="00744A6A">
        <w:rPr>
          <w:rFonts w:ascii="Century Gothic" w:eastAsia="Calibri" w:hAnsi="Century Gothic" w:cs="Times New Roman"/>
          <w:sz w:val="24"/>
          <w:szCs w:val="24"/>
        </w:rPr>
        <w:t xml:space="preserve"> no podrán gozar de los beneficios ya mencionados</w:t>
      </w:r>
      <w:r w:rsidR="001D7D87">
        <w:rPr>
          <w:rFonts w:ascii="Century Gothic" w:eastAsia="Calibri" w:hAnsi="Century Gothic" w:cs="Times New Roman"/>
          <w:sz w:val="24"/>
          <w:szCs w:val="24"/>
        </w:rPr>
        <w:t xml:space="preserve">. Sin embargo, no dudamos que más adelante y de acuerdo a los logros obtenidos por el </w:t>
      </w:r>
      <w:r w:rsidR="001D7D87" w:rsidRPr="001D7D87">
        <w:rPr>
          <w:rFonts w:ascii="Century Gothic" w:eastAsia="Calibri" w:hAnsi="Century Gothic" w:cs="Times New Roman"/>
          <w:sz w:val="24"/>
          <w:szCs w:val="24"/>
        </w:rPr>
        <w:t>Decreto de estímulos f</w:t>
      </w:r>
      <w:r w:rsidR="001D7D87">
        <w:rPr>
          <w:rFonts w:ascii="Century Gothic" w:eastAsia="Calibri" w:hAnsi="Century Gothic" w:cs="Times New Roman"/>
          <w:sz w:val="24"/>
          <w:szCs w:val="24"/>
        </w:rPr>
        <w:t>iscales región fronteriza norte, se estará anexa</w:t>
      </w:r>
      <w:r w:rsidR="00E47C87">
        <w:rPr>
          <w:rFonts w:ascii="Century Gothic" w:eastAsia="Calibri" w:hAnsi="Century Gothic" w:cs="Times New Roman"/>
          <w:sz w:val="24"/>
          <w:szCs w:val="24"/>
        </w:rPr>
        <w:t>n</w:t>
      </w:r>
      <w:r w:rsidR="001D7D87">
        <w:rPr>
          <w:rFonts w:ascii="Century Gothic" w:eastAsia="Calibri" w:hAnsi="Century Gothic" w:cs="Times New Roman"/>
          <w:sz w:val="24"/>
          <w:szCs w:val="24"/>
        </w:rPr>
        <w:t xml:space="preserve">do a las municipios y localidades que por una u otra razón no pudieron ingresar al programa en comento. </w:t>
      </w:r>
    </w:p>
    <w:p w:rsidR="00277F00" w:rsidRDefault="00277F00" w:rsidP="00F06D7C">
      <w:pPr>
        <w:spacing w:line="360" w:lineRule="auto"/>
        <w:jc w:val="both"/>
        <w:rPr>
          <w:rFonts w:ascii="Century Gothic" w:eastAsia="Calibri" w:hAnsi="Century Gothic" w:cs="Times New Roman"/>
          <w:sz w:val="24"/>
          <w:szCs w:val="24"/>
        </w:rPr>
      </w:pPr>
    </w:p>
    <w:p w:rsidR="00277F00" w:rsidRDefault="00277F00" w:rsidP="00F06D7C">
      <w:pPr>
        <w:spacing w:line="360" w:lineRule="auto"/>
        <w:jc w:val="both"/>
        <w:rPr>
          <w:rFonts w:ascii="Century Gothic" w:eastAsia="Calibri" w:hAnsi="Century Gothic" w:cs="Times New Roman"/>
          <w:sz w:val="24"/>
          <w:szCs w:val="24"/>
        </w:rPr>
      </w:pPr>
      <w:r w:rsidRPr="00277F00">
        <w:rPr>
          <w:rFonts w:ascii="Century Gothic" w:eastAsia="Calibri" w:hAnsi="Century Gothic" w:cs="Times New Roman"/>
          <w:b/>
          <w:sz w:val="24"/>
          <w:szCs w:val="24"/>
        </w:rPr>
        <w:t>Sexto.</w:t>
      </w:r>
      <w:r>
        <w:rPr>
          <w:rFonts w:ascii="Century Gothic" w:eastAsia="Calibri" w:hAnsi="Century Gothic" w:cs="Times New Roman"/>
          <w:b/>
          <w:sz w:val="24"/>
          <w:szCs w:val="24"/>
        </w:rPr>
        <w:t xml:space="preserve"> </w:t>
      </w:r>
      <w:r w:rsidRPr="00277F00">
        <w:rPr>
          <w:rFonts w:ascii="Century Gothic" w:eastAsia="Calibri" w:hAnsi="Century Gothic" w:cs="Times New Roman"/>
          <w:sz w:val="24"/>
          <w:szCs w:val="24"/>
        </w:rPr>
        <w:t>Ahora bien, añadir a</w:t>
      </w:r>
      <w:r w:rsidR="00131F02">
        <w:rPr>
          <w:rFonts w:ascii="Century Gothic" w:eastAsia="Calibri" w:hAnsi="Century Gothic" w:cs="Times New Roman"/>
          <w:sz w:val="24"/>
          <w:szCs w:val="24"/>
        </w:rPr>
        <w:t xml:space="preserve"> más</w:t>
      </w:r>
      <w:r w:rsidRPr="00277F00">
        <w:rPr>
          <w:rFonts w:ascii="Century Gothic" w:eastAsia="Calibri" w:hAnsi="Century Gothic" w:cs="Times New Roman"/>
          <w:sz w:val="24"/>
          <w:szCs w:val="24"/>
        </w:rPr>
        <w:t xml:space="preserve"> municipios </w:t>
      </w:r>
      <w:r w:rsidR="00131F02">
        <w:rPr>
          <w:rFonts w:ascii="Century Gothic" w:eastAsia="Calibri" w:hAnsi="Century Gothic" w:cs="Times New Roman"/>
          <w:sz w:val="24"/>
          <w:szCs w:val="24"/>
        </w:rPr>
        <w:t>al “</w:t>
      </w:r>
      <w:r w:rsidRPr="00277F00">
        <w:rPr>
          <w:rFonts w:ascii="Century Gothic" w:eastAsia="Calibri" w:hAnsi="Century Gothic" w:cs="Times New Roman"/>
          <w:sz w:val="24"/>
          <w:szCs w:val="24"/>
        </w:rPr>
        <w:t>Decreto de Estímulos Fi</w:t>
      </w:r>
      <w:r>
        <w:rPr>
          <w:rFonts w:ascii="Century Gothic" w:eastAsia="Calibri" w:hAnsi="Century Gothic" w:cs="Times New Roman"/>
          <w:sz w:val="24"/>
          <w:szCs w:val="24"/>
        </w:rPr>
        <w:t>scales Región Fronteriza Norte</w:t>
      </w:r>
      <w:r w:rsidR="00131F02">
        <w:rPr>
          <w:rFonts w:ascii="Century Gothic" w:eastAsia="Calibri" w:hAnsi="Century Gothic" w:cs="Times New Roman"/>
          <w:sz w:val="24"/>
          <w:szCs w:val="24"/>
        </w:rPr>
        <w:t>”</w:t>
      </w:r>
      <w:r w:rsidRPr="00277F00">
        <w:rPr>
          <w:rFonts w:ascii="Century Gothic" w:eastAsia="Calibri" w:hAnsi="Century Gothic" w:cs="Times New Roman"/>
          <w:sz w:val="24"/>
          <w:szCs w:val="24"/>
        </w:rPr>
        <w:t>, traerá riesgo en la sostenibilidad de las finanzas públicas de nuestro país, ya que la recaudació</w:t>
      </w:r>
      <w:r>
        <w:rPr>
          <w:rFonts w:ascii="Century Gothic" w:eastAsia="Calibri" w:hAnsi="Century Gothic" w:cs="Times New Roman"/>
          <w:sz w:val="24"/>
          <w:szCs w:val="24"/>
        </w:rPr>
        <w:t>n de impuestos se vería</w:t>
      </w:r>
      <w:r w:rsidR="00131F02">
        <w:rPr>
          <w:rFonts w:ascii="Century Gothic" w:eastAsia="Calibri" w:hAnsi="Century Gothic" w:cs="Times New Roman"/>
          <w:sz w:val="24"/>
          <w:szCs w:val="24"/>
        </w:rPr>
        <w:t xml:space="preserve"> reducida</w:t>
      </w:r>
      <w:r>
        <w:rPr>
          <w:rFonts w:ascii="Century Gothic" w:eastAsia="Calibri" w:hAnsi="Century Gothic" w:cs="Times New Roman"/>
          <w:sz w:val="24"/>
          <w:szCs w:val="24"/>
        </w:rPr>
        <w:t xml:space="preserve">. </w:t>
      </w:r>
    </w:p>
    <w:p w:rsidR="00277F00" w:rsidRDefault="00277F00"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 xml:space="preserve">De esta forma, tenemos que incluir a los municipios en comento, </w:t>
      </w:r>
      <w:r w:rsidRPr="00277F00">
        <w:rPr>
          <w:rFonts w:ascii="Century Gothic" w:eastAsia="Calibri" w:hAnsi="Century Gothic" w:cs="Times New Roman"/>
          <w:sz w:val="24"/>
          <w:szCs w:val="24"/>
        </w:rPr>
        <w:t>abre la opción para que otros municipios de los Estados Fronterizos, presionen para que se les otorgue la misma condición f</w:t>
      </w:r>
      <w:r w:rsidR="0049057A">
        <w:rPr>
          <w:rFonts w:ascii="Century Gothic" w:eastAsia="Calibri" w:hAnsi="Century Gothic" w:cs="Times New Roman"/>
          <w:sz w:val="24"/>
          <w:szCs w:val="24"/>
        </w:rPr>
        <w:t>iscal, e incluso las entidades f</w:t>
      </w:r>
      <w:r w:rsidRPr="00277F00">
        <w:rPr>
          <w:rFonts w:ascii="Century Gothic" w:eastAsia="Calibri" w:hAnsi="Century Gothic" w:cs="Times New Roman"/>
          <w:sz w:val="24"/>
          <w:szCs w:val="24"/>
        </w:rPr>
        <w:t>ederativas del centro del país y del sur</w:t>
      </w:r>
      <w:r w:rsidR="00F23944">
        <w:rPr>
          <w:rFonts w:ascii="Century Gothic" w:eastAsia="Calibri" w:hAnsi="Century Gothic" w:cs="Times New Roman"/>
          <w:sz w:val="24"/>
          <w:szCs w:val="24"/>
        </w:rPr>
        <w:t>, comenzará</w:t>
      </w:r>
      <w:r w:rsidRPr="00277F00">
        <w:rPr>
          <w:rFonts w:ascii="Century Gothic" w:eastAsia="Calibri" w:hAnsi="Century Gothic" w:cs="Times New Roman"/>
          <w:sz w:val="24"/>
          <w:szCs w:val="24"/>
        </w:rPr>
        <w:t xml:space="preserve">n a </w:t>
      </w:r>
      <w:r w:rsidR="00F23944">
        <w:rPr>
          <w:rFonts w:ascii="Century Gothic" w:eastAsia="Calibri" w:hAnsi="Century Gothic" w:cs="Times New Roman"/>
          <w:sz w:val="24"/>
          <w:szCs w:val="24"/>
        </w:rPr>
        <w:t>presionar para</w:t>
      </w:r>
      <w:r w:rsidRPr="00277F00">
        <w:rPr>
          <w:rFonts w:ascii="Century Gothic" w:eastAsia="Calibri" w:hAnsi="Century Gothic" w:cs="Times New Roman"/>
          <w:sz w:val="24"/>
          <w:szCs w:val="24"/>
        </w:rPr>
        <w:t xml:space="preserve"> ser incluidos </w:t>
      </w:r>
      <w:r w:rsidR="00F23944">
        <w:rPr>
          <w:rFonts w:ascii="Century Gothic" w:eastAsia="Calibri" w:hAnsi="Century Gothic" w:cs="Times New Roman"/>
          <w:sz w:val="24"/>
          <w:szCs w:val="24"/>
        </w:rPr>
        <w:t xml:space="preserve">en el </w:t>
      </w:r>
      <w:r w:rsidRPr="00277F00">
        <w:rPr>
          <w:rFonts w:ascii="Century Gothic" w:eastAsia="Calibri" w:hAnsi="Century Gothic" w:cs="Times New Roman"/>
          <w:sz w:val="24"/>
          <w:szCs w:val="24"/>
        </w:rPr>
        <w:t>Decreto</w:t>
      </w:r>
      <w:r w:rsidR="00F23944">
        <w:rPr>
          <w:rFonts w:ascii="Century Gothic" w:eastAsia="Calibri" w:hAnsi="Century Gothic" w:cs="Times New Roman"/>
          <w:sz w:val="24"/>
          <w:szCs w:val="24"/>
        </w:rPr>
        <w:t xml:space="preserve"> de la Zona libre</w:t>
      </w:r>
      <w:r w:rsidRPr="00277F00">
        <w:rPr>
          <w:rFonts w:ascii="Century Gothic" w:eastAsia="Calibri" w:hAnsi="Century Gothic" w:cs="Times New Roman"/>
          <w:sz w:val="24"/>
          <w:szCs w:val="24"/>
        </w:rPr>
        <w:t>, cuestión que es sumamente inviable desde el punto de vista económico.</w:t>
      </w:r>
    </w:p>
    <w:p w:rsidR="00F23944" w:rsidRDefault="00F23944" w:rsidP="00F06D7C">
      <w:pPr>
        <w:spacing w:line="360" w:lineRule="auto"/>
        <w:jc w:val="both"/>
        <w:rPr>
          <w:rFonts w:ascii="Century Gothic" w:eastAsia="Calibri" w:hAnsi="Century Gothic" w:cs="Times New Roman"/>
          <w:sz w:val="24"/>
          <w:szCs w:val="24"/>
        </w:rPr>
      </w:pPr>
    </w:p>
    <w:p w:rsidR="00F23944" w:rsidRDefault="00F23944" w:rsidP="00F06D7C">
      <w:pPr>
        <w:spacing w:line="360" w:lineRule="auto"/>
        <w:jc w:val="both"/>
        <w:rPr>
          <w:rFonts w:ascii="Century Gothic" w:eastAsia="Calibri" w:hAnsi="Century Gothic" w:cs="Times New Roman"/>
          <w:sz w:val="24"/>
          <w:szCs w:val="24"/>
        </w:rPr>
      </w:pPr>
    </w:p>
    <w:p w:rsidR="00F23944" w:rsidRPr="00131F02" w:rsidRDefault="00F23944"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lastRenderedPageBreak/>
        <w:t xml:space="preserve">En este sentido, la política fiscal presentada por el titular del ejecutivo federal, sólo debe tener </w:t>
      </w:r>
      <w:r w:rsidR="00131F02">
        <w:rPr>
          <w:rFonts w:ascii="Century Gothic" w:eastAsia="Calibri" w:hAnsi="Century Gothic" w:cs="Times New Roman"/>
          <w:sz w:val="24"/>
          <w:szCs w:val="24"/>
        </w:rPr>
        <w:t xml:space="preserve">como objetivo </w:t>
      </w:r>
      <w:r w:rsidR="00131F02" w:rsidRPr="00131F02">
        <w:rPr>
          <w:rFonts w:ascii="Century Gothic" w:eastAsia="Calibri" w:hAnsi="Century Gothic" w:cs="Times New Roman"/>
          <w:sz w:val="24"/>
          <w:szCs w:val="24"/>
        </w:rPr>
        <w:t>a los municipios establecidos e</w:t>
      </w:r>
      <w:r w:rsidR="00131F02">
        <w:rPr>
          <w:rFonts w:ascii="Century Gothic" w:eastAsia="Calibri" w:hAnsi="Century Gothic" w:cs="Times New Roman"/>
          <w:sz w:val="24"/>
          <w:szCs w:val="24"/>
        </w:rPr>
        <w:t xml:space="preserve">n el Decreto. Esto derivado en el Paquete Económico presentado el año pasado y, a </w:t>
      </w:r>
      <w:r w:rsidR="00131F02" w:rsidRPr="00131F02">
        <w:rPr>
          <w:rFonts w:ascii="Century Gothic" w:eastAsia="Calibri" w:hAnsi="Century Gothic" w:cs="Times New Roman"/>
          <w:sz w:val="24"/>
          <w:szCs w:val="24"/>
        </w:rPr>
        <w:t>las disposiciones esgrimidas en la Ley de Ingreso de la Federación 2019</w:t>
      </w:r>
      <w:r w:rsidR="00131F02">
        <w:rPr>
          <w:rFonts w:ascii="Century Gothic" w:eastAsia="Calibri" w:hAnsi="Century Gothic" w:cs="Times New Roman"/>
          <w:sz w:val="24"/>
          <w:szCs w:val="24"/>
        </w:rPr>
        <w:t>, que</w:t>
      </w:r>
      <w:r w:rsidR="00131F02" w:rsidRPr="00131F02">
        <w:rPr>
          <w:rFonts w:ascii="Century Gothic" w:eastAsia="Calibri" w:hAnsi="Century Gothic" w:cs="Times New Roman"/>
          <w:sz w:val="24"/>
          <w:szCs w:val="24"/>
        </w:rPr>
        <w:t xml:space="preserve"> son sumamente exactas para que no existan disminuciones y desequilibrio en la recaudación de impuestos, por lo que en este momento no hay espacio fiscal para incluir a municipios adicionales.</w:t>
      </w:r>
    </w:p>
    <w:p w:rsidR="00F71871" w:rsidRPr="00F71871" w:rsidRDefault="00F71871" w:rsidP="00F06D7C">
      <w:pPr>
        <w:spacing w:line="360" w:lineRule="auto"/>
        <w:jc w:val="both"/>
        <w:rPr>
          <w:rFonts w:ascii="Century Gothic" w:eastAsia="Calibri" w:hAnsi="Century Gothic" w:cs="Times New Roman"/>
          <w:b/>
          <w:sz w:val="24"/>
          <w:szCs w:val="24"/>
        </w:rPr>
      </w:pPr>
    </w:p>
    <w:p w:rsidR="00F71871" w:rsidRDefault="00277F00"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b/>
          <w:sz w:val="24"/>
          <w:szCs w:val="24"/>
        </w:rPr>
        <w:t>Séptimo</w:t>
      </w:r>
      <w:r w:rsidR="00F71871" w:rsidRPr="00F71871">
        <w:rPr>
          <w:rFonts w:ascii="Century Gothic" w:eastAsia="Calibri" w:hAnsi="Century Gothic" w:cs="Times New Roman"/>
          <w:b/>
          <w:sz w:val="24"/>
          <w:szCs w:val="24"/>
        </w:rPr>
        <w:t xml:space="preserve">. </w:t>
      </w:r>
      <w:r w:rsidR="00F71871">
        <w:rPr>
          <w:rFonts w:ascii="Century Gothic" w:eastAsia="Calibri" w:hAnsi="Century Gothic" w:cs="Times New Roman"/>
          <w:sz w:val="24"/>
          <w:szCs w:val="24"/>
        </w:rPr>
        <w:t xml:space="preserve">En este orden de ideas, el estado no puede </w:t>
      </w:r>
      <w:r w:rsidR="00F23944">
        <w:rPr>
          <w:rFonts w:ascii="Century Gothic" w:eastAsia="Calibri" w:hAnsi="Century Gothic" w:cs="Times New Roman"/>
          <w:sz w:val="24"/>
          <w:szCs w:val="24"/>
        </w:rPr>
        <w:t>permitirse</w:t>
      </w:r>
      <w:r w:rsidR="00F71871">
        <w:rPr>
          <w:rFonts w:ascii="Century Gothic" w:eastAsia="Calibri" w:hAnsi="Century Gothic" w:cs="Times New Roman"/>
          <w:sz w:val="24"/>
          <w:szCs w:val="24"/>
        </w:rPr>
        <w:t xml:space="preserve"> dejar de recaudar recursos que, para el buen funcionamiento de los </w:t>
      </w:r>
      <w:r w:rsidR="00F23944" w:rsidRPr="004C70FF">
        <w:rPr>
          <w:rFonts w:ascii="Century Gothic" w:eastAsia="Calibri" w:hAnsi="Century Gothic" w:cs="Times New Roman"/>
          <w:sz w:val="24"/>
          <w:szCs w:val="24"/>
        </w:rPr>
        <w:t>servicios</w:t>
      </w:r>
      <w:r w:rsidR="004C70FF">
        <w:rPr>
          <w:rFonts w:ascii="Century Gothic" w:eastAsia="Calibri" w:hAnsi="Century Gothic" w:cs="Times New Roman"/>
          <w:sz w:val="24"/>
          <w:szCs w:val="24"/>
        </w:rPr>
        <w:t>,</w:t>
      </w:r>
      <w:r w:rsidR="00F23944" w:rsidRPr="004C70FF">
        <w:rPr>
          <w:rFonts w:ascii="Century Gothic" w:eastAsia="Calibri" w:hAnsi="Century Gothic" w:cs="Times New Roman"/>
          <w:sz w:val="24"/>
          <w:szCs w:val="24"/>
        </w:rPr>
        <w:t xml:space="preserve"> programas sociales</w:t>
      </w:r>
      <w:r w:rsidR="00F71871">
        <w:rPr>
          <w:rFonts w:ascii="Century Gothic" w:eastAsia="Calibri" w:hAnsi="Century Gothic" w:cs="Times New Roman"/>
          <w:sz w:val="24"/>
          <w:szCs w:val="24"/>
        </w:rPr>
        <w:t xml:space="preserve">, el gobierno invierte. Por lo que, agregar a otras ciudades que por normativa legal no se encuentren dentro de los kilómetros permitidos, provocara que a largo plazo otras ciudades pidan ser considerados al Programa de la Zona Libre. </w:t>
      </w:r>
    </w:p>
    <w:p w:rsidR="00F71871" w:rsidRDefault="00F64AE1"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Por otra parte, tenemos que en la carta magna, especifica que es obligación de todos los mexicanos contribuir de manera equitativa en los gastos públicos, al respecto en la Constitución Política de los Estados Unidos Mexicanos (CPEUM), queda lo siguiente:</w:t>
      </w:r>
    </w:p>
    <w:p w:rsidR="00F64AE1" w:rsidRPr="004610D1" w:rsidRDefault="00F64AE1" w:rsidP="0006787E">
      <w:pPr>
        <w:spacing w:line="360" w:lineRule="auto"/>
        <w:ind w:left="1134" w:right="567"/>
        <w:jc w:val="both"/>
        <w:rPr>
          <w:rFonts w:ascii="Century Gothic" w:eastAsia="Calibri" w:hAnsi="Century Gothic" w:cs="Times New Roman"/>
          <w:b/>
          <w:i/>
        </w:rPr>
      </w:pPr>
      <w:r w:rsidRPr="004610D1">
        <w:rPr>
          <w:rFonts w:ascii="Century Gothic" w:eastAsia="Calibri" w:hAnsi="Century Gothic" w:cs="Times New Roman"/>
          <w:b/>
          <w:i/>
        </w:rPr>
        <w:t>Articulo 31.- Son obligaciones de los mexicanos:</w:t>
      </w:r>
    </w:p>
    <w:p w:rsidR="004610D1" w:rsidRPr="004610D1" w:rsidRDefault="004610D1" w:rsidP="0006787E">
      <w:pPr>
        <w:spacing w:line="360" w:lineRule="auto"/>
        <w:ind w:left="1134" w:right="567"/>
        <w:jc w:val="both"/>
        <w:rPr>
          <w:rFonts w:ascii="Century Gothic" w:eastAsia="Calibri" w:hAnsi="Century Gothic" w:cs="Times New Roman"/>
          <w:b/>
          <w:i/>
        </w:rPr>
      </w:pPr>
      <w:r w:rsidRPr="004610D1">
        <w:rPr>
          <w:rFonts w:ascii="Century Gothic" w:eastAsia="Calibri" w:hAnsi="Century Gothic" w:cs="Times New Roman"/>
          <w:b/>
          <w:i/>
        </w:rPr>
        <w:t>I.-  al III. …</w:t>
      </w:r>
    </w:p>
    <w:p w:rsidR="00F64AE1" w:rsidRPr="004610D1" w:rsidRDefault="004610D1" w:rsidP="0006787E">
      <w:pPr>
        <w:spacing w:line="360" w:lineRule="auto"/>
        <w:ind w:left="1134" w:right="567"/>
        <w:jc w:val="both"/>
        <w:rPr>
          <w:rFonts w:ascii="Century Gothic" w:eastAsia="Calibri" w:hAnsi="Century Gothic" w:cs="Times New Roman"/>
          <w:b/>
          <w:i/>
        </w:rPr>
      </w:pPr>
      <w:r w:rsidRPr="004610D1">
        <w:rPr>
          <w:rFonts w:ascii="Century Gothic" w:eastAsia="Calibri" w:hAnsi="Century Gothic" w:cs="Times New Roman"/>
          <w:b/>
          <w:i/>
        </w:rPr>
        <w:t xml:space="preserve">IV.- </w:t>
      </w:r>
      <w:r w:rsidR="00F64AE1" w:rsidRPr="004610D1">
        <w:rPr>
          <w:rFonts w:ascii="Century Gothic" w:eastAsia="Calibri" w:hAnsi="Century Gothic" w:cs="Times New Roman"/>
          <w:b/>
          <w:i/>
        </w:rPr>
        <w:t xml:space="preserve"> </w:t>
      </w:r>
      <w:r w:rsidRPr="004610D1">
        <w:rPr>
          <w:rFonts w:ascii="Century Gothic" w:eastAsia="Calibri" w:hAnsi="Century Gothic" w:cs="Times New Roman"/>
          <w:b/>
          <w:i/>
        </w:rPr>
        <w:t xml:space="preserve">contribuir para los gastos públicos, así de la federación, como de los Estados, de la Ciudad de México y del Municipio en que </w:t>
      </w:r>
      <w:r w:rsidRPr="004610D1">
        <w:rPr>
          <w:rFonts w:ascii="Century Gothic" w:eastAsia="Calibri" w:hAnsi="Century Gothic" w:cs="Times New Roman"/>
          <w:b/>
          <w:i/>
        </w:rPr>
        <w:lastRenderedPageBreak/>
        <w:t>residan, de la manera proporcional y equitativa que dispongan las leyes</w:t>
      </w:r>
      <w:r w:rsidR="0015074A">
        <w:rPr>
          <w:rStyle w:val="Refdenotaalpie"/>
          <w:rFonts w:ascii="Century Gothic" w:eastAsia="Calibri" w:hAnsi="Century Gothic" w:cs="Times New Roman"/>
          <w:b/>
          <w:i/>
        </w:rPr>
        <w:footnoteReference w:id="6"/>
      </w:r>
      <w:r w:rsidR="0015074A">
        <w:rPr>
          <w:rFonts w:ascii="Century Gothic" w:eastAsia="Calibri" w:hAnsi="Century Gothic" w:cs="Times New Roman"/>
          <w:b/>
          <w:i/>
        </w:rPr>
        <w:t>.</w:t>
      </w:r>
    </w:p>
    <w:p w:rsidR="0006787E" w:rsidRPr="0006787E" w:rsidRDefault="004610D1" w:rsidP="00F06D7C">
      <w:pPr>
        <w:spacing w:line="360" w:lineRule="auto"/>
        <w:jc w:val="both"/>
        <w:rPr>
          <w:rFonts w:ascii="Century Gothic" w:eastAsia="Calibri" w:hAnsi="Century Gothic" w:cs="Times New Roman"/>
          <w:b/>
          <w:i/>
          <w:sz w:val="24"/>
          <w:szCs w:val="24"/>
        </w:rPr>
      </w:pPr>
      <w:r>
        <w:rPr>
          <w:rFonts w:ascii="Century Gothic" w:eastAsia="Calibri" w:hAnsi="Century Gothic" w:cs="Times New Roman"/>
          <w:sz w:val="24"/>
          <w:szCs w:val="24"/>
        </w:rPr>
        <w:t>En este sentido, e</w:t>
      </w:r>
      <w:r w:rsidRPr="004610D1">
        <w:rPr>
          <w:rFonts w:ascii="Century Gothic" w:eastAsia="Calibri" w:hAnsi="Century Gothic" w:cs="Times New Roman"/>
          <w:sz w:val="24"/>
          <w:szCs w:val="24"/>
        </w:rPr>
        <w:t xml:space="preserve">l Código Fiscal de la Federación nos señala en su artículo primero, que son las personas físicas y morales las que están obligadas a contribuir con los gastos públicos conforme las leyes fiscales respectivas. </w:t>
      </w:r>
      <w:r w:rsidR="0006787E" w:rsidRPr="0006787E">
        <w:rPr>
          <w:rFonts w:ascii="Century Gothic" w:eastAsia="Calibri" w:hAnsi="Century Gothic" w:cs="Times New Roman"/>
          <w:b/>
          <w:i/>
          <w:sz w:val="24"/>
          <w:szCs w:val="24"/>
        </w:rPr>
        <w:t xml:space="preserve">Código fiscal de la federación </w:t>
      </w:r>
    </w:p>
    <w:p w:rsidR="004610D1" w:rsidRPr="0006787E" w:rsidRDefault="004610D1" w:rsidP="0006787E">
      <w:pPr>
        <w:spacing w:line="360" w:lineRule="auto"/>
        <w:ind w:left="1134" w:right="567"/>
        <w:jc w:val="both"/>
        <w:rPr>
          <w:rFonts w:ascii="Century Gothic" w:hAnsi="Century Gothic"/>
          <w:b/>
          <w:i/>
        </w:rPr>
      </w:pPr>
      <w:r w:rsidRPr="0006787E">
        <w:rPr>
          <w:rFonts w:ascii="Century Gothic" w:hAnsi="Century Gothic"/>
          <w:b/>
          <w:i/>
        </w:rPr>
        <w:t>Artículo 1o.- Las personas físicas y las morales, están obligadas a contribuir para los gastos públicos conforme a las leyes fiscales respectivas. Las disposiciones de este Código se aplicarán en su defecto y sin perjuicio de lo dispuesto por los tratados internacionales de los que México sea parte. Sólo mediante ley podrá destinarse una contribución a un gasto público específico.</w:t>
      </w:r>
    </w:p>
    <w:p w:rsidR="0006787E" w:rsidRPr="0006787E" w:rsidRDefault="004610D1" w:rsidP="0006787E">
      <w:pPr>
        <w:spacing w:line="360" w:lineRule="auto"/>
        <w:ind w:left="1134" w:right="567"/>
        <w:jc w:val="both"/>
        <w:rPr>
          <w:rFonts w:ascii="Century Gothic" w:hAnsi="Century Gothic"/>
          <w:b/>
          <w:i/>
        </w:rPr>
      </w:pPr>
      <w:r w:rsidRPr="0006787E">
        <w:rPr>
          <w:rFonts w:ascii="Century Gothic" w:hAnsi="Century Gothic"/>
          <w:b/>
          <w:i/>
        </w:rPr>
        <w:t xml:space="preserve">La Federación queda obligada a pagar contribuciones únicamente cuando las leyes lo señalen expresamente. </w:t>
      </w:r>
    </w:p>
    <w:p w:rsidR="0006787E" w:rsidRPr="0006787E" w:rsidRDefault="004610D1" w:rsidP="0006787E">
      <w:pPr>
        <w:spacing w:line="360" w:lineRule="auto"/>
        <w:ind w:left="1134" w:right="567"/>
        <w:jc w:val="both"/>
        <w:rPr>
          <w:rFonts w:ascii="Century Gothic" w:hAnsi="Century Gothic"/>
          <w:b/>
          <w:i/>
        </w:rPr>
      </w:pPr>
      <w:r w:rsidRPr="0006787E">
        <w:rPr>
          <w:rFonts w:ascii="Century Gothic" w:hAnsi="Century Gothic"/>
          <w:b/>
          <w:i/>
        </w:rPr>
        <w:t xml:space="preserve">Los estados extranjeros, en casos de reciprocidad, no están obligados a pagar impuestos. No quedan comprendidas en esta exención las entidades o agencias pertenecientes a dichos estados. </w:t>
      </w:r>
    </w:p>
    <w:p w:rsidR="0006787E" w:rsidRDefault="004610D1" w:rsidP="0006787E">
      <w:pPr>
        <w:spacing w:line="360" w:lineRule="auto"/>
        <w:ind w:left="1134" w:right="567"/>
        <w:jc w:val="both"/>
        <w:rPr>
          <w:rFonts w:ascii="Century Gothic" w:hAnsi="Century Gothic"/>
          <w:b/>
          <w:i/>
        </w:rPr>
      </w:pPr>
      <w:r w:rsidRPr="0006787E">
        <w:rPr>
          <w:rFonts w:ascii="Century Gothic" w:hAnsi="Century Gothic"/>
          <w:b/>
          <w:i/>
        </w:rPr>
        <w:t>Las personas que de conformidad con las leyes fiscales no estén obligadas a pagar contribuciones, únicamente tendrán las otras obligaciones que establezcan en forma expresa las propias leyes.</w:t>
      </w:r>
    </w:p>
    <w:p w:rsidR="0006787E" w:rsidRDefault="0006787E" w:rsidP="0006787E">
      <w:pPr>
        <w:spacing w:line="360" w:lineRule="auto"/>
        <w:ind w:right="567"/>
        <w:jc w:val="both"/>
        <w:rPr>
          <w:rFonts w:ascii="Century Gothic" w:hAnsi="Century Gothic"/>
          <w:b/>
          <w:i/>
        </w:rPr>
      </w:pPr>
    </w:p>
    <w:p w:rsidR="0006787E" w:rsidRDefault="0006787E" w:rsidP="0006787E">
      <w:pPr>
        <w:spacing w:line="360" w:lineRule="auto"/>
        <w:jc w:val="both"/>
        <w:rPr>
          <w:rFonts w:ascii="Century Gothic" w:eastAsia="Calibri" w:hAnsi="Century Gothic" w:cs="Times New Roman"/>
          <w:sz w:val="24"/>
          <w:szCs w:val="24"/>
        </w:rPr>
      </w:pPr>
      <w:r w:rsidRPr="0006787E">
        <w:rPr>
          <w:rFonts w:ascii="Century Gothic" w:eastAsia="Calibri" w:hAnsi="Century Gothic" w:cs="Times New Roman"/>
          <w:sz w:val="24"/>
          <w:szCs w:val="24"/>
        </w:rPr>
        <w:lastRenderedPageBreak/>
        <w:t>Así como, en su artículo segundo, que las contribuciones se clasifican en impuestos, aportaciones de seguridad social, contribuciones de mejoras y derechos.</w:t>
      </w:r>
      <w:r w:rsidR="00B868E8">
        <w:rPr>
          <w:rFonts w:ascii="Century Gothic" w:eastAsia="Calibri" w:hAnsi="Century Gothic" w:cs="Times New Roman"/>
          <w:sz w:val="24"/>
          <w:szCs w:val="24"/>
        </w:rPr>
        <w:t xml:space="preserve"> Al respecto queda lo siguiente:</w:t>
      </w:r>
    </w:p>
    <w:p w:rsidR="0006787E" w:rsidRPr="00B868E8" w:rsidRDefault="0006787E" w:rsidP="00B868E8">
      <w:pPr>
        <w:spacing w:line="360" w:lineRule="auto"/>
        <w:ind w:left="1134" w:right="567"/>
        <w:jc w:val="both"/>
        <w:rPr>
          <w:rFonts w:ascii="Century Gothic" w:hAnsi="Century Gothic"/>
          <w:b/>
          <w:i/>
        </w:rPr>
      </w:pPr>
      <w:r w:rsidRPr="00B868E8">
        <w:rPr>
          <w:rFonts w:ascii="Century Gothic" w:hAnsi="Century Gothic"/>
          <w:b/>
          <w:i/>
        </w:rPr>
        <w:t>Artículo 2o.- Las contribuciones se clasifican en impuestos, aportaciones de seguridad social, contribuciones de mejoras y derechos, las que se definen de la siguiente manera:</w:t>
      </w:r>
    </w:p>
    <w:p w:rsidR="0006787E" w:rsidRPr="00B868E8" w:rsidRDefault="0006787E" w:rsidP="00B868E8">
      <w:pPr>
        <w:pStyle w:val="Prrafodelista"/>
        <w:numPr>
          <w:ilvl w:val="0"/>
          <w:numId w:val="2"/>
        </w:numPr>
        <w:spacing w:line="360" w:lineRule="auto"/>
        <w:ind w:left="1134" w:right="567"/>
        <w:jc w:val="both"/>
        <w:rPr>
          <w:rFonts w:ascii="Century Gothic" w:hAnsi="Century Gothic"/>
          <w:b/>
          <w:i/>
        </w:rPr>
      </w:pPr>
      <w:r w:rsidRPr="00B868E8">
        <w:rPr>
          <w:rFonts w:ascii="Century Gothic" w:hAnsi="Century Gothic"/>
          <w:b/>
          <w:i/>
        </w:rPr>
        <w:t xml:space="preserve">Impuestos son las contribuciones establecidas en ley que deben pagar las personas físicas y morales que se encuentran en la situación jurídica o de hecho prevista por la misma y que sean distintas de las señaladas en las fracciones II, III y IV de este Artículo. </w:t>
      </w:r>
    </w:p>
    <w:p w:rsidR="0006787E" w:rsidRPr="00B868E8" w:rsidRDefault="0006787E" w:rsidP="00B868E8">
      <w:pPr>
        <w:pStyle w:val="Prrafodelista"/>
        <w:numPr>
          <w:ilvl w:val="0"/>
          <w:numId w:val="2"/>
        </w:numPr>
        <w:spacing w:line="360" w:lineRule="auto"/>
        <w:ind w:left="1134" w:right="567"/>
        <w:jc w:val="both"/>
        <w:rPr>
          <w:rFonts w:ascii="Century Gothic" w:eastAsia="Calibri" w:hAnsi="Century Gothic" w:cs="Times New Roman"/>
          <w:b/>
          <w:i/>
          <w:sz w:val="24"/>
          <w:szCs w:val="24"/>
        </w:rPr>
      </w:pPr>
      <w:r w:rsidRPr="00B868E8">
        <w:rPr>
          <w:rFonts w:ascii="Century Gothic" w:hAnsi="Century Gothic"/>
          <w:b/>
          <w:i/>
        </w:rPr>
        <w:t xml:space="preserve">Aportaciones de seguridad social son las contribuciones establecidas en ley a cargo de personas que son sustituidas por el Estado en el cumplimiento de obligaciones fijadas por la ley en materia CÓDIGO FISCAL DE LA FEDERACIÓN CÁMARA DE DIPUTADOS DEL H. CONGRESO DE LA UNIÓN Secretaría General Secretaría de Servicios Parlamentarios Última Reforma DOF 25-06-2018 2 de 284 de seguridad social o a las personas que se beneficien en forma especial por servicios de seguridad social proporcionados por el mismo Estado. </w:t>
      </w:r>
    </w:p>
    <w:p w:rsidR="0006787E" w:rsidRPr="00B868E8" w:rsidRDefault="0006787E" w:rsidP="00B868E8">
      <w:pPr>
        <w:pStyle w:val="Prrafodelista"/>
        <w:numPr>
          <w:ilvl w:val="0"/>
          <w:numId w:val="2"/>
        </w:numPr>
        <w:spacing w:line="360" w:lineRule="auto"/>
        <w:ind w:left="1134" w:right="567"/>
        <w:jc w:val="both"/>
        <w:rPr>
          <w:rFonts w:ascii="Century Gothic" w:eastAsia="Calibri" w:hAnsi="Century Gothic" w:cs="Times New Roman"/>
          <w:b/>
          <w:i/>
          <w:sz w:val="24"/>
          <w:szCs w:val="24"/>
        </w:rPr>
      </w:pPr>
      <w:r w:rsidRPr="00B868E8">
        <w:rPr>
          <w:rFonts w:ascii="Century Gothic" w:hAnsi="Century Gothic"/>
          <w:b/>
          <w:i/>
        </w:rPr>
        <w:t xml:space="preserve">Contribuciones de mejoras son las establecidas en Ley a cargo de las personas físicas y morales que se beneficien de manera directa por obras públicas. </w:t>
      </w:r>
    </w:p>
    <w:p w:rsidR="00A52430" w:rsidRPr="00B868E8" w:rsidRDefault="0006787E" w:rsidP="00B868E8">
      <w:pPr>
        <w:pStyle w:val="Prrafodelista"/>
        <w:numPr>
          <w:ilvl w:val="0"/>
          <w:numId w:val="2"/>
        </w:numPr>
        <w:spacing w:line="360" w:lineRule="auto"/>
        <w:ind w:left="1134" w:right="567"/>
        <w:jc w:val="both"/>
        <w:rPr>
          <w:rFonts w:ascii="Century Gothic" w:eastAsia="Calibri" w:hAnsi="Century Gothic" w:cs="Times New Roman"/>
          <w:b/>
          <w:i/>
          <w:sz w:val="24"/>
          <w:szCs w:val="24"/>
        </w:rPr>
      </w:pPr>
      <w:r w:rsidRPr="00B868E8">
        <w:rPr>
          <w:rFonts w:ascii="Century Gothic" w:hAnsi="Century Gothic"/>
          <w:b/>
          <w:i/>
        </w:rPr>
        <w:t xml:space="preserve">Derechos son las contribuciones establecidas en Ley por el uso o aprovechamiento de los bienes del dominio público de la Nación, así como por recibir servicios que presta el Estado en sus funciones de derecho público, excepto cuando se presten por organismos descentralizados u órganos desconcentrados cuando en este </w:t>
      </w:r>
      <w:r w:rsidRPr="00B868E8">
        <w:rPr>
          <w:rFonts w:ascii="Century Gothic" w:hAnsi="Century Gothic"/>
          <w:b/>
          <w:i/>
        </w:rPr>
        <w:lastRenderedPageBreak/>
        <w:t xml:space="preserve">último caso, se trate de contraprestaciones que no se encuentren previstas en la Ley Federal de Derechos. También son derechos las contribuciones a cargo de los organismos públicos descentralizados por prestar servicios exclusivos del Estado. </w:t>
      </w:r>
    </w:p>
    <w:p w:rsidR="00A52430" w:rsidRPr="00B868E8" w:rsidRDefault="0006787E" w:rsidP="00B868E8">
      <w:pPr>
        <w:pStyle w:val="Prrafodelista"/>
        <w:spacing w:line="360" w:lineRule="auto"/>
        <w:ind w:left="283" w:right="283"/>
        <w:jc w:val="both"/>
        <w:rPr>
          <w:rFonts w:ascii="Century Gothic" w:hAnsi="Century Gothic"/>
          <w:b/>
          <w:i/>
        </w:rPr>
      </w:pPr>
      <w:r w:rsidRPr="00B868E8">
        <w:rPr>
          <w:rFonts w:ascii="Century Gothic" w:hAnsi="Century Gothic"/>
          <w:b/>
          <w:i/>
        </w:rPr>
        <w:t xml:space="preserve">Cuando sean organismos descentralizados los que proporcionen la seguridad social a que hace mención la fracción II, las contribuciones correspondientes tendrán la naturaleza de aportaciones de seguridad social. </w:t>
      </w:r>
    </w:p>
    <w:p w:rsidR="0006787E" w:rsidRPr="00B868E8" w:rsidRDefault="0006787E" w:rsidP="00002F97">
      <w:pPr>
        <w:pStyle w:val="Prrafodelista"/>
        <w:spacing w:after="0" w:line="360" w:lineRule="auto"/>
        <w:ind w:left="283" w:right="283"/>
        <w:jc w:val="both"/>
        <w:rPr>
          <w:rFonts w:ascii="Century Gothic" w:eastAsia="Calibri" w:hAnsi="Century Gothic" w:cs="Times New Roman"/>
          <w:b/>
          <w:i/>
          <w:sz w:val="24"/>
          <w:szCs w:val="24"/>
        </w:rPr>
      </w:pPr>
      <w:r w:rsidRPr="00B868E8">
        <w:rPr>
          <w:rFonts w:ascii="Century Gothic" w:hAnsi="Century Gothic"/>
          <w:b/>
          <w:i/>
        </w:rPr>
        <w:t>Los recargos, las sanciones, los gastos de ejecución y la indemnización a que se refiere el séptimo párrafo del Artículo 21 de este Código son accesorios de las contribuciones y participan de la naturaleza de éstas. Siempre que en este Código se haga referencia únicamente a contribuciones no se entenderán incluidos los accesorios, con excepción de lo dispuesto en el Artículo 1o</w:t>
      </w:r>
      <w:r w:rsidR="0015074A">
        <w:rPr>
          <w:rStyle w:val="Refdenotaalpie"/>
          <w:rFonts w:ascii="Century Gothic" w:hAnsi="Century Gothic"/>
          <w:b/>
          <w:i/>
        </w:rPr>
        <w:footnoteReference w:id="7"/>
      </w:r>
      <w:r w:rsidRPr="00B868E8">
        <w:rPr>
          <w:rFonts w:ascii="Century Gothic" w:hAnsi="Century Gothic"/>
          <w:b/>
          <w:i/>
        </w:rPr>
        <w:t>.</w:t>
      </w:r>
    </w:p>
    <w:p w:rsidR="00002F97" w:rsidRDefault="00002F97" w:rsidP="00002F97">
      <w:pPr>
        <w:spacing w:after="0" w:line="360" w:lineRule="auto"/>
        <w:jc w:val="both"/>
        <w:rPr>
          <w:rFonts w:ascii="Century Gothic" w:eastAsia="Calibri" w:hAnsi="Century Gothic" w:cs="Times New Roman"/>
          <w:sz w:val="24"/>
          <w:szCs w:val="24"/>
        </w:rPr>
      </w:pPr>
    </w:p>
    <w:p w:rsidR="0006787E" w:rsidRDefault="00B868E8" w:rsidP="00002F97">
      <w:pPr>
        <w:spacing w:after="0"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 xml:space="preserve">En este sentido, </w:t>
      </w:r>
      <w:r w:rsidR="003A1B1E">
        <w:rPr>
          <w:rFonts w:ascii="Century Gothic" w:eastAsia="Calibri" w:hAnsi="Century Gothic" w:cs="Times New Roman"/>
          <w:sz w:val="24"/>
          <w:szCs w:val="24"/>
        </w:rPr>
        <w:t xml:space="preserve">los diputados consideramos que es derecho de que todos los mexicanos, incluidos quienes conforman el aparato legislativo, tenemos el deber de contribuir a los gastos que tiene el gobierno para crear los programas necesarios que </w:t>
      </w:r>
      <w:r w:rsidR="005A696D">
        <w:rPr>
          <w:rFonts w:ascii="Century Gothic" w:eastAsia="Calibri" w:hAnsi="Century Gothic" w:cs="Times New Roman"/>
          <w:sz w:val="24"/>
          <w:szCs w:val="24"/>
        </w:rPr>
        <w:t xml:space="preserve">tengan </w:t>
      </w:r>
      <w:r w:rsidR="003A1B1E">
        <w:rPr>
          <w:rFonts w:ascii="Century Gothic" w:eastAsia="Calibri" w:hAnsi="Century Gothic" w:cs="Times New Roman"/>
          <w:sz w:val="24"/>
          <w:szCs w:val="24"/>
        </w:rPr>
        <w:t>como finalidad</w:t>
      </w:r>
      <w:r w:rsidR="00277F00">
        <w:rPr>
          <w:rFonts w:ascii="Century Gothic" w:eastAsia="Calibri" w:hAnsi="Century Gothic" w:cs="Times New Roman"/>
          <w:sz w:val="24"/>
          <w:szCs w:val="24"/>
        </w:rPr>
        <w:t xml:space="preserve"> el buen funcionamiento del gobierno en todos los rubros.</w:t>
      </w:r>
    </w:p>
    <w:p w:rsidR="0006787E" w:rsidRDefault="0006787E" w:rsidP="00F06D7C">
      <w:pPr>
        <w:spacing w:line="360" w:lineRule="auto"/>
        <w:jc w:val="both"/>
        <w:rPr>
          <w:rFonts w:ascii="Century Gothic" w:eastAsia="Calibri" w:hAnsi="Century Gothic" w:cs="Times New Roman"/>
          <w:sz w:val="24"/>
          <w:szCs w:val="24"/>
        </w:rPr>
      </w:pPr>
    </w:p>
    <w:p w:rsidR="00646F69" w:rsidRDefault="00994DA0" w:rsidP="00F06D7C">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Por lo expuesto anteriormente, las y los diputados integrantes de la Comisión de Asuntos Frontera Norte, sometemos a consideración del pleno de ésta Cámara de Diputados el siguiente:</w:t>
      </w:r>
    </w:p>
    <w:p w:rsidR="00646F69" w:rsidRDefault="00646F69" w:rsidP="00F06D7C">
      <w:pPr>
        <w:spacing w:line="360" w:lineRule="auto"/>
        <w:jc w:val="both"/>
        <w:rPr>
          <w:rFonts w:ascii="Century Gothic" w:eastAsia="Calibri" w:hAnsi="Century Gothic" w:cs="Times New Roman"/>
          <w:sz w:val="24"/>
          <w:szCs w:val="24"/>
        </w:rPr>
      </w:pPr>
    </w:p>
    <w:p w:rsidR="00646F69" w:rsidRDefault="00646F69" w:rsidP="00F06D7C">
      <w:pPr>
        <w:spacing w:line="360" w:lineRule="auto"/>
        <w:jc w:val="both"/>
        <w:rPr>
          <w:rFonts w:ascii="Century Gothic" w:eastAsia="Calibri" w:hAnsi="Century Gothic" w:cs="Times New Roman"/>
          <w:sz w:val="24"/>
          <w:szCs w:val="24"/>
        </w:rPr>
      </w:pPr>
    </w:p>
    <w:p w:rsidR="00002F97" w:rsidRDefault="00002F97" w:rsidP="00646F69">
      <w:pPr>
        <w:spacing w:line="360" w:lineRule="auto"/>
        <w:jc w:val="center"/>
        <w:rPr>
          <w:rFonts w:ascii="Century Gothic" w:eastAsia="Calibri" w:hAnsi="Century Gothic" w:cs="Times New Roman"/>
          <w:b/>
          <w:sz w:val="24"/>
          <w:szCs w:val="24"/>
        </w:rPr>
      </w:pPr>
    </w:p>
    <w:p w:rsidR="00A31F4E" w:rsidRDefault="00994DA0" w:rsidP="00646F69">
      <w:pPr>
        <w:spacing w:line="360" w:lineRule="auto"/>
        <w:jc w:val="center"/>
        <w:rPr>
          <w:rFonts w:ascii="Century Gothic" w:eastAsia="Calibri" w:hAnsi="Century Gothic" w:cs="Times New Roman"/>
          <w:b/>
          <w:sz w:val="24"/>
          <w:szCs w:val="24"/>
        </w:rPr>
      </w:pPr>
      <w:r w:rsidRPr="00994DA0">
        <w:rPr>
          <w:rFonts w:ascii="Century Gothic" w:eastAsia="Calibri" w:hAnsi="Century Gothic" w:cs="Times New Roman"/>
          <w:b/>
          <w:sz w:val="24"/>
          <w:szCs w:val="24"/>
        </w:rPr>
        <w:t>Punto de acuerdo</w:t>
      </w:r>
    </w:p>
    <w:p w:rsidR="00994DA0" w:rsidRDefault="00002F97" w:rsidP="00994DA0">
      <w:pPr>
        <w:spacing w:line="360" w:lineRule="auto"/>
        <w:ind w:right="680"/>
        <w:jc w:val="both"/>
        <w:rPr>
          <w:rFonts w:ascii="Century Gothic" w:eastAsia="Calibri" w:hAnsi="Century Gothic" w:cs="Times New Roman"/>
          <w:sz w:val="24"/>
          <w:szCs w:val="24"/>
        </w:rPr>
      </w:pPr>
      <w:r>
        <w:rPr>
          <w:rFonts w:ascii="Century Gothic" w:eastAsia="Calibri" w:hAnsi="Century Gothic" w:cs="Times New Roman"/>
          <w:b/>
          <w:sz w:val="24"/>
          <w:szCs w:val="24"/>
        </w:rPr>
        <w:t>PRIMERO</w:t>
      </w:r>
      <w:r w:rsidR="00994DA0">
        <w:rPr>
          <w:rFonts w:ascii="Century Gothic" w:eastAsia="Calibri" w:hAnsi="Century Gothic" w:cs="Times New Roman"/>
          <w:b/>
          <w:sz w:val="24"/>
          <w:szCs w:val="24"/>
        </w:rPr>
        <w:t xml:space="preserve">. </w:t>
      </w:r>
      <w:r w:rsidR="00994DA0">
        <w:rPr>
          <w:rFonts w:ascii="Century Gothic" w:eastAsia="Calibri" w:hAnsi="Century Gothic" w:cs="Times New Roman"/>
          <w:sz w:val="24"/>
          <w:szCs w:val="24"/>
        </w:rPr>
        <w:t xml:space="preserve">Se desecha la proposición con punto de acuerdo, </w:t>
      </w:r>
      <w:r w:rsidR="00A31F4E">
        <w:rPr>
          <w:rFonts w:ascii="Century Gothic" w:eastAsia="Calibri" w:hAnsi="Century Gothic" w:cs="Times New Roman"/>
          <w:sz w:val="24"/>
          <w:szCs w:val="24"/>
        </w:rPr>
        <w:t xml:space="preserve">por el que </w:t>
      </w:r>
      <w:r w:rsidR="00C3311C" w:rsidRPr="00D77F6E">
        <w:rPr>
          <w:rFonts w:ascii="Century Gothic" w:eastAsia="Calibri" w:hAnsi="Century Gothic" w:cs="Times New Roman"/>
          <w:sz w:val="24"/>
          <w:szCs w:val="24"/>
        </w:rPr>
        <w:t xml:space="preserve">la </w:t>
      </w:r>
      <w:r w:rsidR="00D77F6E" w:rsidRPr="00D77F6E">
        <w:rPr>
          <w:rFonts w:ascii="Century Gothic" w:eastAsia="Calibri" w:hAnsi="Century Gothic" w:cs="Times New Roman"/>
          <w:sz w:val="24"/>
          <w:szCs w:val="24"/>
        </w:rPr>
        <w:t>Cámara de Diputados exhorta respetuosamente al Presidente de la República, Andrés Manuel López Obrador, para que instruya al titular de la Secretaría de Hacienda incluir a la región de los Cinco Manantiales en el programa “Zona Libre Frontera Norte”, a efecto de que los habitantes de los municipios que conforman dicha región se vean beneficiados a través de las medidas que se están implementando.</w:t>
      </w:r>
    </w:p>
    <w:p w:rsidR="00A31F4E" w:rsidRDefault="00A31F4E" w:rsidP="00994DA0">
      <w:pPr>
        <w:spacing w:line="360" w:lineRule="auto"/>
        <w:jc w:val="both"/>
        <w:rPr>
          <w:rFonts w:ascii="Century Gothic" w:eastAsia="Calibri" w:hAnsi="Century Gothic" w:cs="Times New Roman"/>
          <w:b/>
          <w:sz w:val="24"/>
          <w:szCs w:val="24"/>
        </w:rPr>
      </w:pPr>
    </w:p>
    <w:p w:rsidR="00994DA0" w:rsidRDefault="00002F97" w:rsidP="00994DA0">
      <w:pPr>
        <w:spacing w:line="360" w:lineRule="auto"/>
        <w:jc w:val="both"/>
        <w:rPr>
          <w:rFonts w:ascii="Century Gothic" w:eastAsia="Calibri" w:hAnsi="Century Gothic" w:cs="Times New Roman"/>
          <w:sz w:val="24"/>
          <w:szCs w:val="24"/>
        </w:rPr>
      </w:pPr>
      <w:r w:rsidRPr="00994DA0">
        <w:rPr>
          <w:rFonts w:ascii="Century Gothic" w:eastAsia="Calibri" w:hAnsi="Century Gothic" w:cs="Times New Roman"/>
          <w:b/>
          <w:sz w:val="24"/>
          <w:szCs w:val="24"/>
        </w:rPr>
        <w:t>SEGUNDO</w:t>
      </w:r>
      <w:r w:rsidR="00994DA0" w:rsidRPr="00994DA0">
        <w:rPr>
          <w:rFonts w:ascii="Century Gothic" w:eastAsia="Calibri" w:hAnsi="Century Gothic" w:cs="Times New Roman"/>
          <w:b/>
          <w:sz w:val="24"/>
          <w:szCs w:val="24"/>
        </w:rPr>
        <w:t>.</w:t>
      </w:r>
      <w:r w:rsidR="00994DA0">
        <w:rPr>
          <w:rFonts w:ascii="Century Gothic" w:eastAsia="Calibri" w:hAnsi="Century Gothic" w:cs="Times New Roman"/>
          <w:b/>
          <w:sz w:val="24"/>
          <w:szCs w:val="24"/>
        </w:rPr>
        <w:t xml:space="preserve"> </w:t>
      </w:r>
      <w:r w:rsidR="00994DA0">
        <w:rPr>
          <w:rFonts w:ascii="Century Gothic" w:eastAsia="Calibri" w:hAnsi="Century Gothic" w:cs="Times New Roman"/>
          <w:sz w:val="24"/>
          <w:szCs w:val="24"/>
        </w:rPr>
        <w:t>Archívese el expediente como asunto total y definitivamente concluido.</w:t>
      </w:r>
    </w:p>
    <w:p w:rsidR="00A31F4E" w:rsidRDefault="00994DA0" w:rsidP="002E12F2">
      <w:pPr>
        <w:spacing w:line="360" w:lineRule="auto"/>
        <w:ind w:left="-113" w:right="227"/>
        <w:jc w:val="right"/>
        <w:rPr>
          <w:rFonts w:ascii="Century Gothic" w:eastAsia="Calibri" w:hAnsi="Century Gothic" w:cs="Times New Roman"/>
          <w:b/>
          <w:sz w:val="24"/>
          <w:szCs w:val="24"/>
        </w:rPr>
      </w:pPr>
      <w:r>
        <w:rPr>
          <w:rFonts w:ascii="Century Gothic" w:eastAsia="Calibri" w:hAnsi="Century Gothic" w:cs="Times New Roman"/>
          <w:b/>
          <w:sz w:val="24"/>
          <w:szCs w:val="24"/>
        </w:rPr>
        <w:t xml:space="preserve">        </w:t>
      </w:r>
      <w:r>
        <w:rPr>
          <w:rFonts w:ascii="Century Gothic" w:eastAsia="Calibri" w:hAnsi="Century Gothic" w:cs="Times New Roman"/>
          <w:b/>
          <w:sz w:val="24"/>
          <w:szCs w:val="24"/>
        </w:rPr>
        <w:tab/>
      </w:r>
      <w:r>
        <w:rPr>
          <w:rFonts w:ascii="Century Gothic" w:eastAsia="Calibri" w:hAnsi="Century Gothic" w:cs="Times New Roman"/>
          <w:b/>
          <w:sz w:val="24"/>
          <w:szCs w:val="24"/>
        </w:rPr>
        <w:tab/>
      </w:r>
    </w:p>
    <w:p w:rsidR="00A31F4E" w:rsidRDefault="00A31F4E" w:rsidP="00002F97">
      <w:pPr>
        <w:spacing w:line="360" w:lineRule="auto"/>
        <w:ind w:right="227"/>
        <w:rPr>
          <w:rFonts w:ascii="Century Gothic" w:eastAsia="Calibri" w:hAnsi="Century Gothic" w:cs="Times New Roman"/>
          <w:b/>
          <w:sz w:val="24"/>
          <w:szCs w:val="24"/>
        </w:rPr>
      </w:pPr>
    </w:p>
    <w:p w:rsidR="00994DA0" w:rsidRDefault="00994DA0" w:rsidP="002E12F2">
      <w:pPr>
        <w:spacing w:line="360" w:lineRule="auto"/>
        <w:ind w:left="-113" w:right="227"/>
        <w:jc w:val="right"/>
        <w:rPr>
          <w:rFonts w:ascii="Century Gothic" w:eastAsia="Calibri" w:hAnsi="Century Gothic" w:cs="Times New Roman"/>
          <w:b/>
          <w:sz w:val="24"/>
          <w:szCs w:val="24"/>
        </w:rPr>
      </w:pPr>
      <w:r w:rsidRPr="00994DA0">
        <w:rPr>
          <w:rFonts w:ascii="Century Gothic" w:eastAsia="Calibri" w:hAnsi="Century Gothic" w:cs="Times New Roman"/>
          <w:b/>
          <w:sz w:val="24"/>
          <w:szCs w:val="24"/>
        </w:rPr>
        <w:t>Palaci</w:t>
      </w:r>
      <w:r w:rsidR="00F2121B">
        <w:rPr>
          <w:rFonts w:ascii="Century Gothic" w:eastAsia="Calibri" w:hAnsi="Century Gothic" w:cs="Times New Roman"/>
          <w:b/>
          <w:sz w:val="24"/>
          <w:szCs w:val="24"/>
        </w:rPr>
        <w:t>o Legislativo de San Lázaro, a 27</w:t>
      </w:r>
      <w:r w:rsidRPr="00994DA0">
        <w:rPr>
          <w:rFonts w:ascii="Century Gothic" w:eastAsia="Calibri" w:hAnsi="Century Gothic" w:cs="Times New Roman"/>
          <w:b/>
          <w:sz w:val="24"/>
          <w:szCs w:val="24"/>
        </w:rPr>
        <w:t xml:space="preserve"> de febrero de 2019</w:t>
      </w:r>
    </w:p>
    <w:p w:rsidR="005A696D" w:rsidRDefault="005A696D" w:rsidP="002E12F2">
      <w:pPr>
        <w:spacing w:line="360" w:lineRule="auto"/>
        <w:ind w:left="-113" w:right="227"/>
        <w:jc w:val="right"/>
        <w:rPr>
          <w:rFonts w:ascii="Century Gothic" w:eastAsia="Calibri" w:hAnsi="Century Gothic" w:cs="Times New Roman"/>
          <w:b/>
          <w:sz w:val="24"/>
          <w:szCs w:val="24"/>
        </w:rPr>
      </w:pPr>
    </w:p>
    <w:p w:rsidR="005A696D" w:rsidRDefault="005A696D" w:rsidP="002E12F2">
      <w:pPr>
        <w:spacing w:line="360" w:lineRule="auto"/>
        <w:ind w:left="-113" w:right="227"/>
        <w:jc w:val="right"/>
        <w:rPr>
          <w:rFonts w:ascii="Century Gothic" w:eastAsia="Calibri" w:hAnsi="Century Gothic" w:cs="Times New Roman"/>
          <w:b/>
          <w:sz w:val="24"/>
          <w:szCs w:val="24"/>
        </w:rPr>
      </w:pPr>
    </w:p>
    <w:p w:rsidR="005A696D" w:rsidRDefault="005A696D" w:rsidP="002E12F2">
      <w:pPr>
        <w:spacing w:line="360" w:lineRule="auto"/>
        <w:ind w:left="-113" w:right="227"/>
        <w:jc w:val="right"/>
        <w:rPr>
          <w:rFonts w:ascii="Century Gothic" w:eastAsia="Calibri" w:hAnsi="Century Gothic" w:cs="Times New Roman"/>
          <w:b/>
          <w:sz w:val="24"/>
          <w:szCs w:val="24"/>
        </w:rPr>
      </w:pPr>
    </w:p>
    <w:p w:rsidR="005A696D" w:rsidRDefault="005A696D" w:rsidP="002E12F2">
      <w:pPr>
        <w:spacing w:line="360" w:lineRule="auto"/>
        <w:ind w:left="-113" w:right="227"/>
        <w:jc w:val="right"/>
        <w:rPr>
          <w:rFonts w:ascii="Century Gothic" w:eastAsia="Calibri" w:hAnsi="Century Gothic" w:cs="Times New Roman"/>
          <w:b/>
          <w:sz w:val="24"/>
          <w:szCs w:val="24"/>
        </w:rPr>
      </w:pPr>
    </w:p>
    <w:p w:rsidR="005A696D" w:rsidRDefault="005A696D" w:rsidP="002E12F2">
      <w:pPr>
        <w:spacing w:line="360" w:lineRule="auto"/>
        <w:ind w:left="-113" w:right="227"/>
        <w:jc w:val="right"/>
        <w:rPr>
          <w:rFonts w:ascii="Century Gothic" w:eastAsia="Calibri" w:hAnsi="Century Gothic" w:cs="Times New Roman"/>
          <w:b/>
          <w:sz w:val="24"/>
          <w:szCs w:val="24"/>
        </w:rPr>
      </w:pPr>
    </w:p>
    <w:p w:rsidR="005A696D" w:rsidRDefault="005A696D" w:rsidP="005A696D">
      <w:pPr>
        <w:spacing w:line="360" w:lineRule="auto"/>
        <w:ind w:left="-113" w:right="227"/>
        <w:rPr>
          <w:rFonts w:ascii="Century Gothic" w:eastAsia="Calibri" w:hAnsi="Century Gothic" w:cs="Times New Roman"/>
          <w:b/>
          <w:sz w:val="24"/>
          <w:szCs w:val="24"/>
        </w:rPr>
        <w:sectPr w:rsidR="005A696D">
          <w:headerReference w:type="default" r:id="rId9"/>
          <w:footerReference w:type="default" r:id="rId10"/>
          <w:pgSz w:w="12240" w:h="15840"/>
          <w:pgMar w:top="1417" w:right="1701" w:bottom="1417" w:left="1701" w:header="708" w:footer="708" w:gutter="0"/>
          <w:cols w:space="708"/>
          <w:docGrid w:linePitch="360"/>
        </w:sectPr>
      </w:pPr>
    </w:p>
    <w:tbl>
      <w:tblPr>
        <w:tblStyle w:val="Tablaconcuadrcula"/>
        <w:tblW w:w="10916" w:type="dxa"/>
        <w:tblInd w:w="-998" w:type="dxa"/>
        <w:tblLook w:val="04A0" w:firstRow="1" w:lastRow="0" w:firstColumn="1" w:lastColumn="0" w:noHBand="0" w:noVBand="1"/>
      </w:tblPr>
      <w:tblGrid>
        <w:gridCol w:w="3205"/>
        <w:gridCol w:w="2750"/>
        <w:gridCol w:w="2693"/>
        <w:gridCol w:w="2268"/>
      </w:tblGrid>
      <w:tr w:rsidR="00DD4AEA" w:rsidRPr="00DF3C85" w:rsidTr="00A855E3">
        <w:tc>
          <w:tcPr>
            <w:tcW w:w="3205" w:type="dxa"/>
          </w:tcPr>
          <w:p w:rsidR="00DD4AEA" w:rsidRPr="00F6604D" w:rsidRDefault="00DD4AEA" w:rsidP="00A855E3">
            <w:pPr>
              <w:tabs>
                <w:tab w:val="left" w:pos="2760"/>
              </w:tabs>
              <w:jc w:val="center"/>
              <w:rPr>
                <w:rFonts w:ascii="Century Gothic" w:hAnsi="Century Gothic"/>
                <w:b/>
                <w:sz w:val="24"/>
                <w:szCs w:val="24"/>
              </w:rPr>
            </w:pPr>
            <w:r w:rsidRPr="00F6604D">
              <w:rPr>
                <w:rFonts w:ascii="Century Gothic" w:hAnsi="Century Gothic"/>
                <w:b/>
                <w:sz w:val="24"/>
                <w:szCs w:val="24"/>
              </w:rPr>
              <w:lastRenderedPageBreak/>
              <w:t>PRESIDENTE</w:t>
            </w:r>
          </w:p>
        </w:tc>
        <w:tc>
          <w:tcPr>
            <w:tcW w:w="2750"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c>
          <w:tcPr>
            <w:tcW w:w="2693"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c>
          <w:tcPr>
            <w:tcW w:w="2268"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tabs>
                <w:tab w:val="left" w:pos="2760"/>
              </w:tabs>
              <w:rPr>
                <w:rFonts w:ascii="Century Gothic" w:hAnsi="Century Gothic"/>
                <w:sz w:val="24"/>
                <w:szCs w:val="24"/>
              </w:rPr>
            </w:pPr>
          </w:p>
          <w:p w:rsidR="00DD4AEA" w:rsidRDefault="00DD4AEA" w:rsidP="00A855E3">
            <w:pPr>
              <w:tabs>
                <w:tab w:val="left" w:pos="2760"/>
              </w:tabs>
              <w:rPr>
                <w:rFonts w:ascii="Century Gothic" w:hAnsi="Century Gothic"/>
                <w:sz w:val="24"/>
                <w:szCs w:val="24"/>
              </w:rPr>
            </w:pPr>
            <w:r>
              <w:rPr>
                <w:rFonts w:ascii="Century Gothic" w:hAnsi="Century Gothic"/>
                <w:sz w:val="24"/>
                <w:szCs w:val="24"/>
              </w:rPr>
              <w:t>Dip. Rubén Ignacio Moreira Valdez</w:t>
            </w:r>
          </w:p>
          <w:p w:rsidR="00DD4AEA" w:rsidRDefault="00DD4AEA" w:rsidP="00A855E3">
            <w:pPr>
              <w:tabs>
                <w:tab w:val="left" w:pos="2760"/>
              </w:tabs>
              <w:rPr>
                <w:rFonts w:ascii="Century Gothic" w:hAnsi="Century Gothic"/>
                <w:sz w:val="24"/>
                <w:szCs w:val="24"/>
              </w:rPr>
            </w:pPr>
          </w:p>
          <w:p w:rsidR="00DD4AEA" w:rsidRPr="00DF3C85" w:rsidRDefault="00DD4AEA" w:rsidP="00A855E3">
            <w:pPr>
              <w:tabs>
                <w:tab w:val="left" w:pos="2760"/>
              </w:tabs>
              <w:rPr>
                <w:rFonts w:ascii="Century Gothic" w:hAnsi="Century Gothic"/>
                <w:sz w:val="24"/>
                <w:szCs w:val="24"/>
              </w:rPr>
            </w:pPr>
          </w:p>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Pr="00426D24" w:rsidRDefault="00DD4AEA" w:rsidP="00A855E3">
            <w:pPr>
              <w:tabs>
                <w:tab w:val="left" w:pos="2760"/>
              </w:tabs>
              <w:jc w:val="center"/>
              <w:rPr>
                <w:rFonts w:ascii="Century Gothic" w:hAnsi="Century Gothic"/>
                <w:b/>
                <w:sz w:val="24"/>
                <w:szCs w:val="24"/>
              </w:rPr>
            </w:pPr>
            <w:r w:rsidRPr="00426D24">
              <w:rPr>
                <w:rFonts w:ascii="Century Gothic" w:hAnsi="Century Gothic"/>
                <w:b/>
                <w:sz w:val="24"/>
                <w:szCs w:val="24"/>
              </w:rPr>
              <w:t>SEC</w:t>
            </w:r>
            <w:r>
              <w:rPr>
                <w:rFonts w:ascii="Century Gothic" w:hAnsi="Century Gothic"/>
                <w:b/>
                <w:sz w:val="24"/>
                <w:szCs w:val="24"/>
              </w:rPr>
              <w:t xml:space="preserve">RETARIAS </w:t>
            </w:r>
            <w:r w:rsidRPr="00426D24">
              <w:rPr>
                <w:rFonts w:ascii="Century Gothic" w:hAnsi="Century Gothic"/>
                <w:b/>
                <w:sz w:val="24"/>
                <w:szCs w:val="24"/>
              </w:rPr>
              <w:t>(OS)</w:t>
            </w:r>
          </w:p>
        </w:tc>
        <w:tc>
          <w:tcPr>
            <w:tcW w:w="2750"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c>
          <w:tcPr>
            <w:tcW w:w="2693"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c>
          <w:tcPr>
            <w:tcW w:w="2268"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tabs>
                <w:tab w:val="left" w:pos="2760"/>
              </w:tabs>
              <w:rPr>
                <w:rFonts w:ascii="Century Gothic" w:hAnsi="Century Gothic"/>
                <w:sz w:val="24"/>
                <w:szCs w:val="24"/>
              </w:rPr>
            </w:pPr>
          </w:p>
          <w:p w:rsidR="00DD4AEA" w:rsidRDefault="00DD4AEA" w:rsidP="00A855E3">
            <w:pPr>
              <w:tabs>
                <w:tab w:val="left" w:pos="2760"/>
              </w:tabs>
              <w:rPr>
                <w:rFonts w:ascii="Century Gothic" w:hAnsi="Century Gothic"/>
                <w:sz w:val="24"/>
                <w:szCs w:val="24"/>
              </w:rPr>
            </w:pPr>
            <w:r>
              <w:rPr>
                <w:rFonts w:ascii="Century Gothic" w:hAnsi="Century Gothic"/>
                <w:sz w:val="24"/>
                <w:szCs w:val="24"/>
              </w:rPr>
              <w:t>Dip. Irma Socorro Andazola Gómez</w:t>
            </w:r>
          </w:p>
          <w:p w:rsidR="00DD4AEA" w:rsidRDefault="00DD4AEA" w:rsidP="00A855E3">
            <w:pPr>
              <w:tabs>
                <w:tab w:val="left" w:pos="2760"/>
              </w:tabs>
              <w:rPr>
                <w:rFonts w:ascii="Century Gothic" w:hAnsi="Century Gothic"/>
                <w:sz w:val="24"/>
                <w:szCs w:val="24"/>
              </w:rPr>
            </w:pPr>
          </w:p>
          <w:p w:rsidR="00DD4AEA" w:rsidRDefault="00DD4AEA" w:rsidP="00A855E3">
            <w:pPr>
              <w:tabs>
                <w:tab w:val="left" w:pos="2760"/>
              </w:tabs>
              <w:rPr>
                <w:rFonts w:ascii="Century Gothic" w:hAnsi="Century Gothic"/>
                <w:sz w:val="24"/>
                <w:szCs w:val="24"/>
              </w:rPr>
            </w:pPr>
          </w:p>
          <w:p w:rsidR="00DD4AEA" w:rsidRPr="00DF3C85" w:rsidRDefault="00DD4AEA" w:rsidP="00A855E3">
            <w:pPr>
              <w:tabs>
                <w:tab w:val="left" w:pos="2760"/>
              </w:tabs>
              <w:rPr>
                <w:rFonts w:ascii="Century Gothic" w:hAnsi="Century Gothic"/>
                <w:sz w:val="24"/>
                <w:szCs w:val="24"/>
              </w:rPr>
            </w:pPr>
          </w:p>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9A355E">
              <w:rPr>
                <w:rFonts w:ascii="Century Gothic" w:hAnsi="Century Gothic"/>
                <w:sz w:val="24"/>
                <w:szCs w:val="24"/>
              </w:rPr>
              <w:t xml:space="preserve">Dip. </w:t>
            </w:r>
            <w:r>
              <w:rPr>
                <w:rFonts w:ascii="Century Gothic" w:hAnsi="Century Gothic"/>
                <w:sz w:val="24"/>
                <w:szCs w:val="24"/>
              </w:rPr>
              <w:t>Manuel López Castillo</w:t>
            </w:r>
          </w:p>
          <w:p w:rsidR="00DD4AEA" w:rsidRDefault="00DD4AEA" w:rsidP="00A855E3"/>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9A355E">
              <w:rPr>
                <w:rFonts w:ascii="Century Gothic" w:hAnsi="Century Gothic"/>
                <w:sz w:val="24"/>
                <w:szCs w:val="24"/>
              </w:rPr>
              <w:t xml:space="preserve">Dip. </w:t>
            </w:r>
            <w:r>
              <w:rPr>
                <w:rFonts w:ascii="Century Gothic" w:hAnsi="Century Gothic"/>
                <w:sz w:val="24"/>
                <w:szCs w:val="24"/>
              </w:rPr>
              <w:t>José Salvador Rosas Quintanilla</w:t>
            </w:r>
          </w:p>
          <w:p w:rsidR="00DD4AEA" w:rsidRDefault="00DD4AEA" w:rsidP="00A855E3"/>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Pr="002512BC" w:rsidRDefault="00DD4AEA" w:rsidP="00A855E3">
            <w:pPr>
              <w:rPr>
                <w:rFonts w:ascii="Century Gothic" w:hAnsi="Century Gothic"/>
                <w:sz w:val="24"/>
                <w:szCs w:val="24"/>
              </w:rPr>
            </w:pPr>
            <w:r w:rsidRPr="009A355E">
              <w:rPr>
                <w:rFonts w:ascii="Century Gothic" w:hAnsi="Century Gothic"/>
                <w:sz w:val="24"/>
                <w:szCs w:val="24"/>
              </w:rPr>
              <w:t xml:space="preserve">Dip. </w:t>
            </w:r>
            <w:r>
              <w:rPr>
                <w:rFonts w:ascii="Century Gothic" w:hAnsi="Century Gothic"/>
                <w:sz w:val="24"/>
                <w:szCs w:val="24"/>
              </w:rPr>
              <w:t>Irma María Terán Villalobos</w:t>
            </w:r>
          </w:p>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9A355E">
              <w:rPr>
                <w:rFonts w:ascii="Century Gothic" w:hAnsi="Century Gothic"/>
                <w:sz w:val="24"/>
                <w:szCs w:val="24"/>
              </w:rPr>
              <w:t xml:space="preserve">Dip. </w:t>
            </w:r>
            <w:r>
              <w:rPr>
                <w:rFonts w:ascii="Century Gothic" w:hAnsi="Century Gothic"/>
                <w:sz w:val="24"/>
                <w:szCs w:val="24"/>
              </w:rPr>
              <w:t>Claudia Elena Lastra Muñoz</w:t>
            </w:r>
          </w:p>
          <w:p w:rsidR="00DD4AEA" w:rsidRDefault="00DD4AEA" w:rsidP="00A855E3"/>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rPr>
          <w:trHeight w:val="1708"/>
        </w:trPr>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8D21E1">
              <w:rPr>
                <w:rFonts w:ascii="Century Gothic" w:hAnsi="Century Gothic"/>
                <w:sz w:val="24"/>
                <w:szCs w:val="24"/>
              </w:rPr>
              <w:t>Dip. Francisco Jorge Villarreal Pasaret</w:t>
            </w:r>
          </w:p>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rPr>
          <w:trHeight w:val="70"/>
        </w:trPr>
        <w:tc>
          <w:tcPr>
            <w:tcW w:w="3205" w:type="dxa"/>
          </w:tcPr>
          <w:p w:rsidR="00DD4AEA" w:rsidRPr="00F6604D" w:rsidRDefault="00DD4AEA" w:rsidP="00A855E3">
            <w:pPr>
              <w:jc w:val="center"/>
              <w:rPr>
                <w:b/>
              </w:rPr>
            </w:pPr>
            <w:r w:rsidRPr="00F6604D">
              <w:rPr>
                <w:rFonts w:ascii="Century Gothic" w:hAnsi="Century Gothic"/>
                <w:b/>
                <w:sz w:val="24"/>
                <w:szCs w:val="24"/>
              </w:rPr>
              <w:t>INTEGRANTES</w:t>
            </w:r>
          </w:p>
        </w:tc>
        <w:tc>
          <w:tcPr>
            <w:tcW w:w="2750"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c>
          <w:tcPr>
            <w:tcW w:w="2693"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c>
          <w:tcPr>
            <w:tcW w:w="2268" w:type="dxa"/>
            <w:shd w:val="clear" w:color="auto" w:fill="BFBFBF" w:themeFill="background1" w:themeFillShade="BF"/>
          </w:tcPr>
          <w:p w:rsidR="00DD4AEA" w:rsidRPr="00DF3C85" w:rsidRDefault="00DD4AEA" w:rsidP="00A855E3">
            <w:pPr>
              <w:tabs>
                <w:tab w:val="left" w:pos="2760"/>
              </w:tabs>
              <w:rPr>
                <w:rFonts w:ascii="Century Gothic" w:hAnsi="Century Gothic"/>
                <w:sz w:val="24"/>
                <w:szCs w:val="24"/>
              </w:rPr>
            </w:pPr>
          </w:p>
        </w:tc>
      </w:tr>
      <w:tr w:rsidR="00DD4AEA" w:rsidRPr="00DF3C85" w:rsidTr="00A855E3">
        <w:trPr>
          <w:trHeight w:val="1115"/>
        </w:trPr>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9A355E">
              <w:rPr>
                <w:rFonts w:ascii="Century Gothic" w:hAnsi="Century Gothic"/>
                <w:sz w:val="24"/>
                <w:szCs w:val="24"/>
              </w:rPr>
              <w:t xml:space="preserve">Dip. </w:t>
            </w:r>
            <w:r>
              <w:rPr>
                <w:rFonts w:ascii="Century Gothic" w:hAnsi="Century Gothic"/>
                <w:sz w:val="24"/>
                <w:szCs w:val="24"/>
              </w:rPr>
              <w:t xml:space="preserve">Maximino Alejandro Candelaria </w:t>
            </w: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9A355E">
              <w:rPr>
                <w:rFonts w:ascii="Century Gothic" w:hAnsi="Century Gothic"/>
                <w:sz w:val="24"/>
                <w:szCs w:val="24"/>
              </w:rPr>
              <w:t xml:space="preserve">Dip. </w:t>
            </w:r>
            <w:r>
              <w:rPr>
                <w:rFonts w:ascii="Century Gothic" w:hAnsi="Century Gothic"/>
                <w:sz w:val="24"/>
                <w:szCs w:val="24"/>
              </w:rPr>
              <w:t>Marina del Pilar Ávila Olmeda</w:t>
            </w: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9A355E">
              <w:rPr>
                <w:rFonts w:ascii="Century Gothic" w:hAnsi="Century Gothic"/>
                <w:sz w:val="24"/>
                <w:szCs w:val="24"/>
              </w:rPr>
              <w:t xml:space="preserve">Dip. </w:t>
            </w:r>
            <w:r w:rsidRPr="00B24E62">
              <w:rPr>
                <w:rFonts w:ascii="Century Gothic" w:hAnsi="Century Gothic"/>
                <w:sz w:val="24"/>
                <w:szCs w:val="24"/>
              </w:rPr>
              <w:t>Madeleine Bonnafoux Alcaraz</w:t>
            </w:r>
          </w:p>
          <w:p w:rsidR="00DD4AEA" w:rsidRDefault="00DD4AEA" w:rsidP="00A855E3">
            <w:pPr>
              <w:rPr>
                <w:rFonts w:ascii="Century Gothic" w:hAnsi="Century Gothic"/>
                <w:sz w:val="24"/>
                <w:szCs w:val="24"/>
              </w:rPr>
            </w:pPr>
          </w:p>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rPr>
          <w:trHeight w:val="2274"/>
        </w:trPr>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9A355E">
              <w:rPr>
                <w:rFonts w:ascii="Century Gothic" w:hAnsi="Century Gothic"/>
                <w:sz w:val="24"/>
                <w:szCs w:val="24"/>
              </w:rPr>
              <w:t xml:space="preserve">Dip. </w:t>
            </w:r>
            <w:r w:rsidRPr="00F6604D">
              <w:rPr>
                <w:rFonts w:ascii="Century Gothic" w:hAnsi="Century Gothic"/>
                <w:sz w:val="24"/>
                <w:szCs w:val="24"/>
              </w:rPr>
              <w:t>Diego Eduardo</w:t>
            </w:r>
            <w:r>
              <w:t xml:space="preserve"> </w:t>
            </w:r>
            <w:r w:rsidRPr="00F6604D">
              <w:rPr>
                <w:rFonts w:ascii="Century Gothic" w:hAnsi="Century Gothic"/>
                <w:sz w:val="24"/>
                <w:szCs w:val="24"/>
              </w:rPr>
              <w:t>Del Bosque Villarreal</w:t>
            </w:r>
          </w:p>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D82D83">
              <w:rPr>
                <w:rFonts w:ascii="Century Gothic" w:hAnsi="Century Gothic"/>
                <w:sz w:val="24"/>
                <w:szCs w:val="24"/>
              </w:rPr>
              <w:t xml:space="preserve">Dip. </w:t>
            </w:r>
            <w:r w:rsidRPr="00F6604D">
              <w:rPr>
                <w:rFonts w:ascii="Century Gothic" w:hAnsi="Century Gothic"/>
                <w:sz w:val="24"/>
                <w:szCs w:val="24"/>
              </w:rPr>
              <w:t>Adriana</w:t>
            </w:r>
            <w:r>
              <w:t xml:space="preserve"> </w:t>
            </w:r>
            <w:r w:rsidRPr="00F6604D">
              <w:rPr>
                <w:rFonts w:ascii="Century Gothic" w:hAnsi="Century Gothic"/>
                <w:sz w:val="24"/>
                <w:szCs w:val="24"/>
              </w:rPr>
              <w:t>Lozano Rodríguez</w:t>
            </w:r>
          </w:p>
          <w:p w:rsidR="00DD4AEA" w:rsidRDefault="00DD4AEA" w:rsidP="00A855E3">
            <w:pPr>
              <w:rPr>
                <w:rFonts w:ascii="Century Gothic" w:hAnsi="Century Gothic"/>
                <w:sz w:val="24"/>
                <w:szCs w:val="24"/>
              </w:rPr>
            </w:pPr>
          </w:p>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D82D83">
              <w:rPr>
                <w:rFonts w:ascii="Century Gothic" w:hAnsi="Century Gothic"/>
                <w:sz w:val="24"/>
                <w:szCs w:val="24"/>
              </w:rPr>
              <w:t xml:space="preserve">Dip. </w:t>
            </w:r>
            <w:r w:rsidRPr="00F6604D">
              <w:rPr>
                <w:rFonts w:ascii="Century Gothic" w:hAnsi="Century Gothic"/>
                <w:sz w:val="24"/>
                <w:szCs w:val="24"/>
              </w:rPr>
              <w:t>Jesús Salvador</w:t>
            </w:r>
            <w:r>
              <w:t xml:space="preserve"> </w:t>
            </w:r>
            <w:r w:rsidRPr="00F6604D">
              <w:rPr>
                <w:rFonts w:ascii="Century Gothic" w:hAnsi="Century Gothic"/>
                <w:sz w:val="24"/>
                <w:szCs w:val="24"/>
              </w:rPr>
              <w:t>Minor Mora</w:t>
            </w: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rPr>
          <w:trHeight w:val="1871"/>
        </w:trPr>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D82D83">
              <w:rPr>
                <w:rFonts w:ascii="Century Gothic" w:hAnsi="Century Gothic"/>
                <w:sz w:val="24"/>
                <w:szCs w:val="24"/>
              </w:rPr>
              <w:t xml:space="preserve">Dip. </w:t>
            </w:r>
            <w:r w:rsidRPr="00F6604D">
              <w:rPr>
                <w:rFonts w:ascii="Century Gothic" w:hAnsi="Century Gothic"/>
                <w:sz w:val="24"/>
                <w:szCs w:val="24"/>
              </w:rPr>
              <w:t>Miguel Alonso</w:t>
            </w:r>
            <w:r>
              <w:t xml:space="preserve"> </w:t>
            </w:r>
            <w:r w:rsidRPr="00F6604D">
              <w:rPr>
                <w:rFonts w:ascii="Century Gothic" w:hAnsi="Century Gothic"/>
                <w:sz w:val="24"/>
                <w:szCs w:val="24"/>
              </w:rPr>
              <w:t>Riggs Baeza</w:t>
            </w:r>
          </w:p>
          <w:p w:rsidR="00DD4AEA" w:rsidRDefault="00DD4AEA" w:rsidP="00A855E3">
            <w:pPr>
              <w:rPr>
                <w:rFonts w:ascii="Century Gothic" w:hAnsi="Century Gothic"/>
                <w:sz w:val="24"/>
                <w:szCs w:val="24"/>
              </w:rPr>
            </w:pPr>
          </w:p>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D82D83">
              <w:rPr>
                <w:rFonts w:ascii="Century Gothic" w:hAnsi="Century Gothic"/>
                <w:sz w:val="24"/>
                <w:szCs w:val="24"/>
              </w:rPr>
              <w:t xml:space="preserve">Dip. </w:t>
            </w:r>
            <w:r w:rsidRPr="00F6604D">
              <w:rPr>
                <w:rFonts w:ascii="Century Gothic" w:hAnsi="Century Gothic"/>
                <w:sz w:val="24"/>
                <w:szCs w:val="24"/>
              </w:rPr>
              <w:t>Eraclio</w:t>
            </w:r>
            <w:r>
              <w:t xml:space="preserve"> </w:t>
            </w:r>
            <w:r w:rsidRPr="00F6604D">
              <w:rPr>
                <w:rFonts w:ascii="Century Gothic" w:hAnsi="Century Gothic"/>
                <w:sz w:val="24"/>
                <w:szCs w:val="24"/>
              </w:rPr>
              <w:t>Rodríguez Gómez</w:t>
            </w:r>
          </w:p>
          <w:p w:rsidR="00DD4AEA" w:rsidRDefault="00DD4AEA" w:rsidP="00A855E3">
            <w:pPr>
              <w:rPr>
                <w:rFonts w:ascii="Century Gothic" w:hAnsi="Century Gothic"/>
                <w:sz w:val="24"/>
                <w:szCs w:val="24"/>
              </w:rPr>
            </w:pPr>
          </w:p>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rPr>
          <w:trHeight w:val="1640"/>
        </w:trPr>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D82D83">
              <w:rPr>
                <w:rFonts w:ascii="Century Gothic" w:hAnsi="Century Gothic"/>
                <w:sz w:val="24"/>
                <w:szCs w:val="24"/>
              </w:rPr>
              <w:t xml:space="preserve">Dip. </w:t>
            </w:r>
            <w:r w:rsidRPr="00F6604D">
              <w:rPr>
                <w:rFonts w:ascii="Century Gothic" w:hAnsi="Century Gothic"/>
                <w:sz w:val="24"/>
                <w:szCs w:val="24"/>
              </w:rPr>
              <w:t>Ernesto</w:t>
            </w:r>
            <w:r>
              <w:rPr>
                <w:rFonts w:ascii="Century Gothic" w:hAnsi="Century Gothic"/>
                <w:sz w:val="24"/>
                <w:szCs w:val="24"/>
              </w:rPr>
              <w:t xml:space="preserve"> Ruffo Appel</w:t>
            </w:r>
          </w:p>
          <w:p w:rsidR="00DD4AEA" w:rsidRDefault="00DD4AEA" w:rsidP="00A855E3"/>
          <w:p w:rsidR="00DD4AEA" w:rsidRDefault="00DD4AEA" w:rsidP="00A855E3"/>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rPr>
          <w:trHeight w:val="1692"/>
        </w:trPr>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D82D83">
              <w:rPr>
                <w:rFonts w:ascii="Century Gothic" w:hAnsi="Century Gothic"/>
                <w:sz w:val="24"/>
                <w:szCs w:val="24"/>
              </w:rPr>
              <w:t xml:space="preserve">Dip. </w:t>
            </w:r>
            <w:r w:rsidRPr="00F6604D">
              <w:rPr>
                <w:rFonts w:ascii="Century Gothic" w:hAnsi="Century Gothic"/>
                <w:sz w:val="24"/>
                <w:szCs w:val="24"/>
              </w:rPr>
              <w:t>Mauricio Alonso</w:t>
            </w:r>
            <w:r>
              <w:t xml:space="preserve"> </w:t>
            </w:r>
            <w:r w:rsidRPr="00F6604D">
              <w:rPr>
                <w:rFonts w:ascii="Century Gothic" w:hAnsi="Century Gothic"/>
                <w:sz w:val="24"/>
                <w:szCs w:val="24"/>
              </w:rPr>
              <w:t>Toledo Gutiérrez</w:t>
            </w: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EC7922">
              <w:rPr>
                <w:rFonts w:ascii="Century Gothic" w:hAnsi="Century Gothic"/>
                <w:sz w:val="24"/>
                <w:szCs w:val="24"/>
              </w:rPr>
              <w:t xml:space="preserve">Dip. </w:t>
            </w:r>
            <w:r w:rsidRPr="00F6604D">
              <w:rPr>
                <w:rFonts w:ascii="Century Gothic" w:hAnsi="Century Gothic"/>
                <w:sz w:val="24"/>
                <w:szCs w:val="24"/>
              </w:rPr>
              <w:t>Teresita de Jesús</w:t>
            </w:r>
            <w:r>
              <w:t xml:space="preserve"> </w:t>
            </w:r>
            <w:r w:rsidRPr="00F6604D">
              <w:rPr>
                <w:rFonts w:ascii="Century Gothic" w:hAnsi="Century Gothic"/>
                <w:sz w:val="24"/>
                <w:szCs w:val="24"/>
              </w:rPr>
              <w:t>Vargas Meraz</w:t>
            </w:r>
          </w:p>
          <w:p w:rsidR="00DD4AEA" w:rsidRDefault="00DD4AEA" w:rsidP="00A855E3"/>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r w:rsidR="00DD4AEA" w:rsidRPr="00DF3C85" w:rsidTr="00A855E3">
        <w:tc>
          <w:tcPr>
            <w:tcW w:w="3205" w:type="dxa"/>
          </w:tcPr>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p>
          <w:p w:rsidR="00DD4AEA" w:rsidRDefault="00DD4AEA" w:rsidP="00A855E3">
            <w:pPr>
              <w:rPr>
                <w:rFonts w:ascii="Century Gothic" w:hAnsi="Century Gothic"/>
                <w:sz w:val="24"/>
                <w:szCs w:val="24"/>
              </w:rPr>
            </w:pPr>
            <w:r w:rsidRPr="00EC7922">
              <w:rPr>
                <w:rFonts w:ascii="Century Gothic" w:hAnsi="Century Gothic"/>
                <w:sz w:val="24"/>
                <w:szCs w:val="24"/>
              </w:rPr>
              <w:t xml:space="preserve">Dip. </w:t>
            </w:r>
            <w:r w:rsidRPr="00F6604D">
              <w:rPr>
                <w:rFonts w:ascii="Century Gothic" w:hAnsi="Century Gothic"/>
                <w:sz w:val="24"/>
                <w:szCs w:val="24"/>
              </w:rPr>
              <w:t>Héctor Joel</w:t>
            </w:r>
            <w:r>
              <w:t xml:space="preserve"> </w:t>
            </w:r>
            <w:r w:rsidRPr="00F6604D">
              <w:rPr>
                <w:rFonts w:ascii="Century Gothic" w:hAnsi="Century Gothic"/>
                <w:sz w:val="24"/>
                <w:szCs w:val="24"/>
              </w:rPr>
              <w:t>Villegas González</w:t>
            </w:r>
          </w:p>
          <w:p w:rsidR="00DD4AEA" w:rsidRDefault="00DD4AEA" w:rsidP="00A855E3">
            <w:pPr>
              <w:rPr>
                <w:rFonts w:ascii="Century Gothic" w:hAnsi="Century Gothic"/>
                <w:sz w:val="24"/>
                <w:szCs w:val="24"/>
              </w:rPr>
            </w:pPr>
          </w:p>
          <w:p w:rsidR="00DD4AEA" w:rsidRDefault="00DD4AEA" w:rsidP="00A855E3"/>
        </w:tc>
        <w:tc>
          <w:tcPr>
            <w:tcW w:w="2750" w:type="dxa"/>
          </w:tcPr>
          <w:p w:rsidR="00DD4AEA" w:rsidRPr="00DF3C85" w:rsidRDefault="00DD4AEA" w:rsidP="00A855E3">
            <w:pPr>
              <w:tabs>
                <w:tab w:val="left" w:pos="2760"/>
              </w:tabs>
              <w:rPr>
                <w:rFonts w:ascii="Century Gothic" w:hAnsi="Century Gothic"/>
                <w:sz w:val="24"/>
                <w:szCs w:val="24"/>
              </w:rPr>
            </w:pPr>
          </w:p>
        </w:tc>
        <w:tc>
          <w:tcPr>
            <w:tcW w:w="2693" w:type="dxa"/>
          </w:tcPr>
          <w:p w:rsidR="00DD4AEA" w:rsidRPr="00DF3C85" w:rsidRDefault="00DD4AEA" w:rsidP="00A855E3">
            <w:pPr>
              <w:tabs>
                <w:tab w:val="left" w:pos="2760"/>
              </w:tabs>
              <w:rPr>
                <w:rFonts w:ascii="Century Gothic" w:hAnsi="Century Gothic"/>
                <w:sz w:val="24"/>
                <w:szCs w:val="24"/>
              </w:rPr>
            </w:pPr>
          </w:p>
        </w:tc>
        <w:tc>
          <w:tcPr>
            <w:tcW w:w="2268" w:type="dxa"/>
          </w:tcPr>
          <w:p w:rsidR="00DD4AEA" w:rsidRPr="00DF3C85" w:rsidRDefault="00DD4AEA" w:rsidP="00A855E3">
            <w:pPr>
              <w:tabs>
                <w:tab w:val="left" w:pos="2760"/>
              </w:tabs>
              <w:rPr>
                <w:rFonts w:ascii="Century Gothic" w:hAnsi="Century Gothic"/>
                <w:sz w:val="24"/>
                <w:szCs w:val="24"/>
              </w:rPr>
            </w:pPr>
          </w:p>
        </w:tc>
      </w:tr>
    </w:tbl>
    <w:p w:rsidR="00DD4AEA" w:rsidRDefault="00DD4AEA" w:rsidP="00DD4AEA"/>
    <w:p w:rsidR="005A696D" w:rsidRPr="00994DA0" w:rsidRDefault="005A696D" w:rsidP="005A696D">
      <w:pPr>
        <w:spacing w:line="360" w:lineRule="auto"/>
        <w:ind w:left="-113" w:right="227"/>
        <w:rPr>
          <w:rFonts w:ascii="Century Gothic" w:eastAsia="Calibri" w:hAnsi="Century Gothic" w:cs="Times New Roman"/>
          <w:b/>
          <w:sz w:val="24"/>
          <w:szCs w:val="24"/>
        </w:rPr>
      </w:pPr>
    </w:p>
    <w:sectPr w:rsidR="005A696D" w:rsidRPr="00994DA0" w:rsidSect="002512BC">
      <w:headerReference w:type="default" r:id="rId11"/>
      <w:pgSz w:w="12240" w:h="15840"/>
      <w:pgMar w:top="3119"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C2C" w:rsidRDefault="00C96C2C" w:rsidP="00262AB5">
      <w:pPr>
        <w:spacing w:after="0" w:line="240" w:lineRule="auto"/>
      </w:pPr>
      <w:r>
        <w:separator/>
      </w:r>
    </w:p>
  </w:endnote>
  <w:endnote w:type="continuationSeparator" w:id="0">
    <w:p w:rsidR="00C96C2C" w:rsidRDefault="00C96C2C" w:rsidP="00262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356733"/>
      <w:docPartObj>
        <w:docPartGallery w:val="Page Numbers (Bottom of Page)"/>
        <w:docPartUnique/>
      </w:docPartObj>
    </w:sdtPr>
    <w:sdtEndPr/>
    <w:sdtContent>
      <w:sdt>
        <w:sdtPr>
          <w:id w:val="-1769616900"/>
          <w:docPartObj>
            <w:docPartGallery w:val="Page Numbers (Top of Page)"/>
            <w:docPartUnique/>
          </w:docPartObj>
        </w:sdtPr>
        <w:sdtEndPr/>
        <w:sdtContent>
          <w:p w:rsidR="00F06D7C" w:rsidRDefault="00F06D7C">
            <w:pPr>
              <w:pStyle w:val="Piedepgina"/>
              <w:jc w:val="right"/>
            </w:pPr>
            <w:r w:rsidRPr="00F06D7C">
              <w:rPr>
                <w:rFonts w:ascii="Century Gothic" w:hAnsi="Century Gothic"/>
                <w:sz w:val="16"/>
                <w:szCs w:val="16"/>
                <w:lang w:val="es-ES"/>
              </w:rPr>
              <w:t xml:space="preserve">Página </w:t>
            </w:r>
            <w:r w:rsidRPr="00F06D7C">
              <w:rPr>
                <w:rFonts w:ascii="Century Gothic" w:hAnsi="Century Gothic"/>
                <w:b/>
                <w:bCs/>
                <w:sz w:val="16"/>
                <w:szCs w:val="16"/>
              </w:rPr>
              <w:fldChar w:fldCharType="begin"/>
            </w:r>
            <w:r w:rsidRPr="00F06D7C">
              <w:rPr>
                <w:rFonts w:ascii="Century Gothic" w:hAnsi="Century Gothic"/>
                <w:b/>
                <w:bCs/>
                <w:sz w:val="16"/>
                <w:szCs w:val="16"/>
              </w:rPr>
              <w:instrText>PAGE</w:instrText>
            </w:r>
            <w:r w:rsidRPr="00F06D7C">
              <w:rPr>
                <w:rFonts w:ascii="Century Gothic" w:hAnsi="Century Gothic"/>
                <w:b/>
                <w:bCs/>
                <w:sz w:val="16"/>
                <w:szCs w:val="16"/>
              </w:rPr>
              <w:fldChar w:fldCharType="separate"/>
            </w:r>
            <w:r w:rsidR="00FB7CA6">
              <w:rPr>
                <w:rFonts w:ascii="Century Gothic" w:hAnsi="Century Gothic"/>
                <w:b/>
                <w:bCs/>
                <w:noProof/>
                <w:sz w:val="16"/>
                <w:szCs w:val="16"/>
              </w:rPr>
              <w:t>1</w:t>
            </w:r>
            <w:r w:rsidRPr="00F06D7C">
              <w:rPr>
                <w:rFonts w:ascii="Century Gothic" w:hAnsi="Century Gothic"/>
                <w:b/>
                <w:bCs/>
                <w:sz w:val="16"/>
                <w:szCs w:val="16"/>
              </w:rPr>
              <w:fldChar w:fldCharType="end"/>
            </w:r>
            <w:r w:rsidRPr="00F06D7C">
              <w:rPr>
                <w:rFonts w:ascii="Century Gothic" w:hAnsi="Century Gothic"/>
                <w:sz w:val="16"/>
                <w:szCs w:val="16"/>
                <w:lang w:val="es-ES"/>
              </w:rPr>
              <w:t xml:space="preserve"> de </w:t>
            </w:r>
            <w:r w:rsidRPr="00F06D7C">
              <w:rPr>
                <w:rFonts w:ascii="Century Gothic" w:hAnsi="Century Gothic"/>
                <w:b/>
                <w:bCs/>
                <w:sz w:val="16"/>
                <w:szCs w:val="16"/>
              </w:rPr>
              <w:fldChar w:fldCharType="begin"/>
            </w:r>
            <w:r w:rsidRPr="00F06D7C">
              <w:rPr>
                <w:rFonts w:ascii="Century Gothic" w:hAnsi="Century Gothic"/>
                <w:b/>
                <w:bCs/>
                <w:sz w:val="16"/>
                <w:szCs w:val="16"/>
              </w:rPr>
              <w:instrText>NUMPAGES</w:instrText>
            </w:r>
            <w:r w:rsidRPr="00F06D7C">
              <w:rPr>
                <w:rFonts w:ascii="Century Gothic" w:hAnsi="Century Gothic"/>
                <w:b/>
                <w:bCs/>
                <w:sz w:val="16"/>
                <w:szCs w:val="16"/>
              </w:rPr>
              <w:fldChar w:fldCharType="separate"/>
            </w:r>
            <w:r w:rsidR="00FB7CA6">
              <w:rPr>
                <w:rFonts w:ascii="Century Gothic" w:hAnsi="Century Gothic"/>
                <w:b/>
                <w:bCs/>
                <w:noProof/>
                <w:sz w:val="16"/>
                <w:szCs w:val="16"/>
              </w:rPr>
              <w:t>19</w:t>
            </w:r>
            <w:r w:rsidRPr="00F06D7C">
              <w:rPr>
                <w:rFonts w:ascii="Century Gothic" w:hAnsi="Century Gothic"/>
                <w:b/>
                <w:bCs/>
                <w:sz w:val="16"/>
                <w:szCs w:val="16"/>
              </w:rPr>
              <w:fldChar w:fldCharType="end"/>
            </w:r>
          </w:p>
        </w:sdtContent>
      </w:sdt>
    </w:sdtContent>
  </w:sdt>
  <w:p w:rsidR="00F06D7C" w:rsidRDefault="00F06D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C2C" w:rsidRDefault="00C96C2C" w:rsidP="00262AB5">
      <w:pPr>
        <w:spacing w:after="0" w:line="240" w:lineRule="auto"/>
      </w:pPr>
      <w:r>
        <w:separator/>
      </w:r>
    </w:p>
  </w:footnote>
  <w:footnote w:type="continuationSeparator" w:id="0">
    <w:p w:rsidR="00C96C2C" w:rsidRDefault="00C96C2C" w:rsidP="00262AB5">
      <w:pPr>
        <w:spacing w:after="0" w:line="240" w:lineRule="auto"/>
      </w:pPr>
      <w:r>
        <w:continuationSeparator/>
      </w:r>
    </w:p>
  </w:footnote>
  <w:footnote w:id="1">
    <w:p w:rsidR="00C25885" w:rsidRPr="00E47C87" w:rsidRDefault="00C25885" w:rsidP="00E47C87">
      <w:pPr>
        <w:pStyle w:val="Textonotapie"/>
        <w:jc w:val="both"/>
        <w:rPr>
          <w:rFonts w:ascii="Century Gothic" w:hAnsi="Century Gothic"/>
          <w:sz w:val="16"/>
          <w:szCs w:val="16"/>
        </w:rPr>
      </w:pPr>
      <w:r w:rsidRPr="00E47C87">
        <w:rPr>
          <w:rStyle w:val="Refdenotaalpie"/>
          <w:rFonts w:ascii="Century Gothic" w:hAnsi="Century Gothic"/>
          <w:sz w:val="16"/>
          <w:szCs w:val="16"/>
        </w:rPr>
        <w:footnoteRef/>
      </w:r>
      <w:r w:rsidRPr="00E47C87">
        <w:rPr>
          <w:rFonts w:ascii="Century Gothic" w:hAnsi="Century Gothic"/>
          <w:sz w:val="16"/>
          <w:szCs w:val="16"/>
        </w:rPr>
        <w:t xml:space="preserve"> Deloitte, Decreto de Estímulos Fiscales para la Región Fronteriza Norte. Disponible en: </w:t>
      </w:r>
      <w:hyperlink r:id="rId1" w:history="1">
        <w:r w:rsidRPr="00E47C87">
          <w:rPr>
            <w:rStyle w:val="Hipervnculo"/>
            <w:rFonts w:ascii="Century Gothic" w:hAnsi="Century Gothic"/>
            <w:sz w:val="16"/>
            <w:szCs w:val="16"/>
          </w:rPr>
          <w:t>https://www2.deloitte.com/content/dam/Deloitte/mx/Documents/tax/flashes-2018/Decreto-de-Estimulos-Fiscales-Region-Fronteriza-Norte.pdf</w:t>
        </w:r>
      </w:hyperlink>
      <w:r w:rsidRPr="00E47C87">
        <w:rPr>
          <w:rFonts w:ascii="Century Gothic" w:hAnsi="Century Gothic"/>
          <w:sz w:val="16"/>
          <w:szCs w:val="16"/>
        </w:rPr>
        <w:t xml:space="preserve">  </w:t>
      </w:r>
      <w:r w:rsidR="00B10BF4" w:rsidRPr="00E47C87">
        <w:rPr>
          <w:rFonts w:ascii="Century Gothic" w:hAnsi="Century Gothic"/>
          <w:sz w:val="16"/>
          <w:szCs w:val="16"/>
        </w:rPr>
        <w:t xml:space="preserve">                    </w:t>
      </w:r>
      <w:r w:rsidRPr="00E47C87">
        <w:rPr>
          <w:rFonts w:ascii="Century Gothic" w:hAnsi="Century Gothic"/>
          <w:sz w:val="16"/>
          <w:szCs w:val="16"/>
        </w:rPr>
        <w:t>Fecha de consulta: Enero 30, 2019</w:t>
      </w:r>
    </w:p>
  </w:footnote>
  <w:footnote w:id="2">
    <w:p w:rsidR="00A31F4E" w:rsidRPr="00E47C87" w:rsidRDefault="00A31F4E" w:rsidP="00E47C87">
      <w:pPr>
        <w:pStyle w:val="Textonotapie"/>
        <w:jc w:val="both"/>
        <w:rPr>
          <w:rFonts w:ascii="Century Gothic" w:hAnsi="Century Gothic"/>
          <w:sz w:val="16"/>
          <w:szCs w:val="16"/>
        </w:rPr>
      </w:pPr>
      <w:r w:rsidRPr="00E47C87">
        <w:rPr>
          <w:rStyle w:val="Refdenotaalpie"/>
          <w:rFonts w:ascii="Century Gothic" w:hAnsi="Century Gothic"/>
          <w:sz w:val="16"/>
          <w:szCs w:val="16"/>
        </w:rPr>
        <w:footnoteRef/>
      </w:r>
      <w:r w:rsidRPr="00E47C87">
        <w:rPr>
          <w:rFonts w:ascii="Century Gothic" w:hAnsi="Century Gothic"/>
          <w:sz w:val="16"/>
          <w:szCs w:val="16"/>
        </w:rPr>
        <w:t xml:space="preserve"> </w:t>
      </w:r>
      <w:r w:rsidR="00E47C87" w:rsidRPr="00E47C87">
        <w:rPr>
          <w:rFonts w:ascii="Century Gothic" w:eastAsia="Calibri" w:hAnsi="Century Gothic" w:cs="Times New Roman"/>
          <w:sz w:val="16"/>
          <w:szCs w:val="16"/>
        </w:rPr>
        <w:t xml:space="preserve">Diario Oficial de la Federación. Decreto de estímulos fiscales región fronteriza norte. Disponible en: </w:t>
      </w:r>
      <w:hyperlink r:id="rId2" w:history="1">
        <w:r w:rsidR="00E47C87" w:rsidRPr="00E47C87">
          <w:rPr>
            <w:rFonts w:ascii="Century Gothic" w:eastAsia="Calibri" w:hAnsi="Century Gothic" w:cs="Times New Roman"/>
            <w:color w:val="0563C1"/>
            <w:sz w:val="16"/>
            <w:szCs w:val="16"/>
            <w:u w:val="single"/>
          </w:rPr>
          <w:t>https://www.dof.gob.mx/nota_detalle.php?codigo=5547485&amp;fecha=31/12/2018</w:t>
        </w:r>
      </w:hyperlink>
      <w:r w:rsidR="00E47C87">
        <w:rPr>
          <w:rFonts w:ascii="Century Gothic" w:eastAsia="Calibri" w:hAnsi="Century Gothic" w:cs="Times New Roman"/>
          <w:sz w:val="16"/>
          <w:szCs w:val="16"/>
        </w:rPr>
        <w:t xml:space="preserve">  Fecha de consulta: Enero 30</w:t>
      </w:r>
      <w:r w:rsidR="00E47C87" w:rsidRPr="00E47C87">
        <w:rPr>
          <w:rFonts w:ascii="Century Gothic" w:eastAsia="Calibri" w:hAnsi="Century Gothic" w:cs="Times New Roman"/>
          <w:sz w:val="16"/>
          <w:szCs w:val="16"/>
        </w:rPr>
        <w:t>, 2019</w:t>
      </w:r>
    </w:p>
  </w:footnote>
  <w:footnote w:id="3">
    <w:p w:rsidR="00E91D28" w:rsidRDefault="00E91D28" w:rsidP="00B10BF4">
      <w:pPr>
        <w:pStyle w:val="Textonotapie"/>
        <w:jc w:val="both"/>
      </w:pPr>
      <w:r w:rsidRPr="001D7D87">
        <w:rPr>
          <w:rStyle w:val="Refdenotaalpie"/>
          <w:rFonts w:ascii="Century Gothic" w:hAnsi="Century Gothic"/>
        </w:rPr>
        <w:footnoteRef/>
      </w:r>
      <w:r w:rsidRPr="001D7D87">
        <w:rPr>
          <w:rFonts w:ascii="Century Gothic" w:hAnsi="Century Gothic"/>
        </w:rPr>
        <w:t xml:space="preserve"> </w:t>
      </w:r>
      <w:r w:rsidR="00B10BF4" w:rsidRPr="001D7D87">
        <w:rPr>
          <w:rFonts w:ascii="Century Gothic" w:hAnsi="Century Gothic"/>
        </w:rPr>
        <w:t>Ibídem</w:t>
      </w:r>
      <w:r w:rsidRPr="001D7D87">
        <w:rPr>
          <w:rFonts w:ascii="Century Gothic" w:hAnsi="Century Gothic"/>
        </w:rPr>
        <w:t>.</w:t>
      </w:r>
      <w:r>
        <w:t xml:space="preserve"> </w:t>
      </w:r>
    </w:p>
  </w:footnote>
  <w:footnote w:id="4">
    <w:p w:rsidR="00F06D7C" w:rsidRPr="001D7D87" w:rsidRDefault="00F06D7C" w:rsidP="003104BC">
      <w:pPr>
        <w:pStyle w:val="Textonotapie"/>
        <w:jc w:val="both"/>
        <w:rPr>
          <w:rFonts w:ascii="Century Gothic" w:hAnsi="Century Gothic"/>
        </w:rPr>
      </w:pPr>
      <w:r w:rsidRPr="001D7D87">
        <w:rPr>
          <w:rStyle w:val="Refdenotaalpie"/>
          <w:rFonts w:ascii="Century Gothic" w:hAnsi="Century Gothic"/>
        </w:rPr>
        <w:footnoteRef/>
      </w:r>
      <w:r w:rsidRPr="001D7D87">
        <w:rPr>
          <w:rFonts w:ascii="Century Gothic" w:hAnsi="Century Gothic"/>
        </w:rPr>
        <w:t xml:space="preserve"> Ibídem</w:t>
      </w:r>
    </w:p>
  </w:footnote>
  <w:footnote w:id="5">
    <w:p w:rsidR="003104BC" w:rsidRDefault="003104BC" w:rsidP="003104BC">
      <w:pPr>
        <w:pStyle w:val="Textonotapie"/>
        <w:jc w:val="both"/>
      </w:pPr>
      <w:r w:rsidRPr="001D7D87">
        <w:rPr>
          <w:rStyle w:val="Refdenotaalpie"/>
          <w:rFonts w:ascii="Century Gothic" w:hAnsi="Century Gothic"/>
        </w:rPr>
        <w:footnoteRef/>
      </w:r>
      <w:r w:rsidRPr="001D7D87">
        <w:rPr>
          <w:rFonts w:ascii="Century Gothic" w:hAnsi="Century Gothic"/>
        </w:rPr>
        <w:t xml:space="preserve"> "El Economista". (2019). "Precio de la gasolina baja en la frontera norte". Enero 30, 2019, de "El Economista" Sitio web: </w:t>
      </w:r>
      <w:hyperlink r:id="rId3" w:history="1">
        <w:r w:rsidRPr="001D7D87">
          <w:rPr>
            <w:rStyle w:val="Hipervnculo"/>
            <w:rFonts w:ascii="Century Gothic" w:hAnsi="Century Gothic"/>
          </w:rPr>
          <w:t>https://www.eleconomista.com.mx/estados/Precio-de-la-gasolina-baja-en-la-frontera-norte-20190101-0086.html</w:t>
        </w:r>
      </w:hyperlink>
      <w:r>
        <w:rPr>
          <w:rFonts w:ascii="Century Gothic" w:hAnsi="Century Gothic"/>
          <w:sz w:val="18"/>
          <w:szCs w:val="18"/>
        </w:rPr>
        <w:t xml:space="preserve"> </w:t>
      </w:r>
    </w:p>
  </w:footnote>
  <w:footnote w:id="6">
    <w:p w:rsidR="0015074A" w:rsidRPr="0015074A" w:rsidRDefault="0015074A" w:rsidP="0015074A">
      <w:pPr>
        <w:pStyle w:val="Textonotapie"/>
        <w:jc w:val="both"/>
        <w:rPr>
          <w:rFonts w:ascii="Century Gothic" w:hAnsi="Century Gothic"/>
          <w:sz w:val="18"/>
          <w:szCs w:val="18"/>
        </w:rPr>
      </w:pPr>
      <w:r w:rsidRPr="0015074A">
        <w:rPr>
          <w:rStyle w:val="Refdenotaalpie"/>
          <w:rFonts w:ascii="Century Gothic" w:hAnsi="Century Gothic"/>
          <w:sz w:val="18"/>
          <w:szCs w:val="18"/>
        </w:rPr>
        <w:footnoteRef/>
      </w:r>
      <w:r w:rsidRPr="0015074A">
        <w:rPr>
          <w:rFonts w:ascii="Century Gothic" w:hAnsi="Century Gothic"/>
          <w:sz w:val="18"/>
          <w:szCs w:val="18"/>
        </w:rPr>
        <w:t xml:space="preserve"> Suprema Corte de Justicia de la Nación. (2016). Constitución Política de los Estados Unidos Mexicanos. Febrero 28, 2019, de Suprema Corte de Justicia de la Nación Sitio web: </w:t>
      </w:r>
      <w:hyperlink r:id="rId4" w:history="1">
        <w:r w:rsidRPr="002D02AA">
          <w:rPr>
            <w:rStyle w:val="Hipervnculo"/>
            <w:rFonts w:ascii="Century Gothic" w:hAnsi="Century Gothic"/>
            <w:sz w:val="18"/>
            <w:szCs w:val="18"/>
          </w:rPr>
          <w:t>https://www.scjn.gob.mx/sites/default/files/cpeum/documento/2017-03/CPEUM-031.pdf</w:t>
        </w:r>
      </w:hyperlink>
      <w:r>
        <w:rPr>
          <w:rFonts w:ascii="Century Gothic" w:hAnsi="Century Gothic"/>
          <w:sz w:val="18"/>
          <w:szCs w:val="18"/>
        </w:rPr>
        <w:t xml:space="preserve"> </w:t>
      </w:r>
    </w:p>
  </w:footnote>
  <w:footnote w:id="7">
    <w:p w:rsidR="0015074A" w:rsidRPr="0015074A" w:rsidRDefault="0015074A" w:rsidP="0015074A">
      <w:pPr>
        <w:pStyle w:val="Textonotapie"/>
        <w:jc w:val="both"/>
        <w:rPr>
          <w:rFonts w:ascii="Century Gothic" w:hAnsi="Century Gothic"/>
          <w:sz w:val="18"/>
          <w:szCs w:val="18"/>
        </w:rPr>
      </w:pPr>
      <w:r w:rsidRPr="0015074A">
        <w:rPr>
          <w:rStyle w:val="Refdenotaalpie"/>
          <w:rFonts w:ascii="Century Gothic" w:hAnsi="Century Gothic"/>
          <w:sz w:val="18"/>
          <w:szCs w:val="18"/>
        </w:rPr>
        <w:footnoteRef/>
      </w:r>
      <w:r w:rsidRPr="0015074A">
        <w:rPr>
          <w:rFonts w:ascii="Century Gothic" w:hAnsi="Century Gothic"/>
          <w:sz w:val="18"/>
          <w:szCs w:val="18"/>
        </w:rPr>
        <w:t xml:space="preserve"> Código Fiscal de la Federación. (2018). Código Fiscal de la Federación. Febrero 28, 2019, de Cámara de Diputados Sitio web: </w:t>
      </w:r>
      <w:hyperlink r:id="rId5" w:history="1">
        <w:r w:rsidRPr="002D02AA">
          <w:rPr>
            <w:rStyle w:val="Hipervnculo"/>
            <w:rFonts w:ascii="Century Gothic" w:hAnsi="Century Gothic"/>
            <w:sz w:val="18"/>
            <w:szCs w:val="18"/>
          </w:rPr>
          <w:t>http://www.diputados.gob.mx/LeyesBiblio/pdf/8_241218.pdf</w:t>
        </w:r>
      </w:hyperlink>
      <w:r>
        <w:rPr>
          <w:rFonts w:ascii="Century Gothic" w:hAnsi="Century Gothic"/>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B5" w:rsidRPr="0071044D" w:rsidRDefault="00262AB5" w:rsidP="00262AB5">
    <w:pPr>
      <w:pStyle w:val="Encabezado"/>
      <w:ind w:left="1985"/>
      <w:jc w:val="both"/>
      <w:rPr>
        <w:rFonts w:ascii="Century Gothic" w:hAnsi="Century Gothic"/>
        <w:b/>
        <w:bCs/>
        <w:sz w:val="24"/>
        <w:szCs w:val="24"/>
      </w:rPr>
    </w:pPr>
    <w:r w:rsidRPr="0071044D">
      <w:rPr>
        <w:rFonts w:ascii="Century Gothic" w:hAnsi="Century Gothic"/>
        <w:b/>
        <w:bCs/>
        <w:sz w:val="24"/>
        <w:szCs w:val="24"/>
      </w:rPr>
      <w:t>COMISIÓN ASUNTOS FRONTERA NORTE</w:t>
    </w:r>
  </w:p>
  <w:p w:rsidR="00262AB5" w:rsidRDefault="00262AB5" w:rsidP="00262AB5">
    <w:pPr>
      <w:pStyle w:val="Encabezado"/>
      <w:ind w:left="1985"/>
      <w:jc w:val="both"/>
      <w:rPr>
        <w:rFonts w:ascii="Century Gothic" w:hAnsi="Century Gothic"/>
        <w:b/>
        <w:bCs/>
        <w:sz w:val="24"/>
        <w:szCs w:val="24"/>
      </w:rPr>
    </w:pPr>
    <w:r w:rsidRPr="0071044D">
      <w:rPr>
        <w:rFonts w:ascii="Century Gothic" w:hAnsi="Century Gothic"/>
        <w:b/>
        <w:bCs/>
        <w:sz w:val="24"/>
        <w:szCs w:val="24"/>
      </w:rPr>
      <w:tab/>
    </w:r>
    <w:r w:rsidRPr="0071044D">
      <w:rPr>
        <w:rFonts w:ascii="Century Gothic" w:hAnsi="Century Gothic"/>
        <w:b/>
        <w:noProof/>
        <w:sz w:val="24"/>
        <w:szCs w:val="24"/>
        <w:lang w:eastAsia="es-MX"/>
      </w:rPr>
      <w:drawing>
        <wp:inline distT="0" distB="0" distL="0" distR="0" wp14:anchorId="1D39EE3C" wp14:editId="52752CAB">
          <wp:extent cx="1391383" cy="782339"/>
          <wp:effectExtent l="0" t="0" r="571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12094" cy="793985"/>
                  </a:xfrm>
                  <a:prstGeom prst="rect">
                    <a:avLst/>
                  </a:prstGeom>
                </pic:spPr>
              </pic:pic>
            </a:graphicData>
          </a:graphic>
        </wp:inline>
      </w:drawing>
    </w:r>
  </w:p>
  <w:p w:rsidR="00262AB5" w:rsidRDefault="00262A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5C5" w:rsidRPr="007D13BB" w:rsidRDefault="00B22CB3" w:rsidP="007D13BB">
    <w:pPr>
      <w:tabs>
        <w:tab w:val="center" w:pos="4419"/>
        <w:tab w:val="right" w:pos="8838"/>
      </w:tabs>
      <w:spacing w:after="0" w:line="240" w:lineRule="auto"/>
      <w:jc w:val="center"/>
      <w:rPr>
        <w:rFonts w:ascii="Century Gothic" w:hAnsi="Century Gothic"/>
        <w:b/>
        <w:bCs/>
        <w:sz w:val="28"/>
        <w:szCs w:val="28"/>
      </w:rPr>
    </w:pPr>
    <w:r w:rsidRPr="00A025C5">
      <w:rPr>
        <w:noProof/>
        <w:color w:val="FFFFFF" w:themeColor="background1"/>
        <w:sz w:val="28"/>
        <w:szCs w:val="28"/>
        <w:lang w:eastAsia="es-MX"/>
        <w14:textFill>
          <w14:noFill/>
        </w14:textFill>
      </w:rPr>
      <w:drawing>
        <wp:anchor distT="0" distB="0" distL="114300" distR="114300" simplePos="0" relativeHeight="251661312" behindDoc="0" locked="0" layoutInCell="1" allowOverlap="1" wp14:anchorId="3BF43C17" wp14:editId="23B205EA">
          <wp:simplePos x="0" y="0"/>
          <wp:positionH relativeFrom="margin">
            <wp:posOffset>-200025</wp:posOffset>
          </wp:positionH>
          <wp:positionV relativeFrom="paragraph">
            <wp:posOffset>7620</wp:posOffset>
          </wp:positionV>
          <wp:extent cx="1028700" cy="1038225"/>
          <wp:effectExtent l="0" t="0" r="0" b="9525"/>
          <wp:wrapNone/>
          <wp:docPr id="3" name="Imagen 3" descr="E:\png\LXIV Legislatura_vertical.png"/>
          <wp:cNvGraphicFramePr/>
          <a:graphic xmlns:a="http://schemas.openxmlformats.org/drawingml/2006/main">
            <a:graphicData uri="http://schemas.openxmlformats.org/drawingml/2006/picture">
              <pic:pic xmlns:pic="http://schemas.openxmlformats.org/drawingml/2006/picture">
                <pic:nvPicPr>
                  <pic:cNvPr id="1" name="Imagen 1" descr="E:\png\LXIV Legislatura_vertical.png"/>
                  <pic:cNvPicPr/>
                </pic:nvPicPr>
                <pic:blipFill rotWithShape="1">
                  <a:blip r:embed="rId1" cstate="print">
                    <a:extLst>
                      <a:ext uri="{28A0092B-C50C-407E-A947-70E740481C1C}">
                        <a14:useLocalDpi xmlns:a14="http://schemas.microsoft.com/office/drawing/2010/main" val="0"/>
                      </a:ext>
                    </a:extLst>
                  </a:blip>
                  <a:srcRect l="9376" t="3183" r="8594" b="4485"/>
                  <a:stretch/>
                </pic:blipFill>
                <pic:spPr bwMode="auto">
                  <a:xfrm>
                    <a:off x="0" y="0"/>
                    <a:ext cx="1028700"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b/>
        <w:bCs/>
        <w:sz w:val="28"/>
        <w:szCs w:val="28"/>
      </w:rPr>
      <w:t xml:space="preserve">               </w:t>
    </w:r>
    <w:r w:rsidRPr="00A025C5">
      <w:rPr>
        <w:rFonts w:ascii="Century Gothic" w:hAnsi="Century Gothic"/>
        <w:b/>
        <w:bCs/>
        <w:sz w:val="28"/>
        <w:szCs w:val="28"/>
      </w:rPr>
      <w:t>COMISIÓN ASUNTOS FRONTERA NORTE</w:t>
    </w:r>
  </w:p>
  <w:p w:rsidR="007D13BB" w:rsidRDefault="00B22CB3" w:rsidP="007D13BB">
    <w:pPr>
      <w:ind w:left="1417" w:right="-454"/>
      <w:jc w:val="both"/>
      <w:rPr>
        <w:rFonts w:ascii="Century Gothic" w:hAnsi="Century Gothic"/>
        <w:b/>
        <w:sz w:val="24"/>
        <w:szCs w:val="24"/>
      </w:rPr>
    </w:pPr>
    <w:r w:rsidRPr="00E0605F">
      <w:rPr>
        <w:rFonts w:ascii="Century Gothic" w:hAnsi="Century Gothic"/>
        <w:b/>
        <w:sz w:val="24"/>
        <w:szCs w:val="24"/>
      </w:rPr>
      <w:t xml:space="preserve">DICTAMEN </w:t>
    </w:r>
    <w:r w:rsidR="001B5C3C">
      <w:rPr>
        <w:rFonts w:ascii="Century Gothic" w:hAnsi="Century Gothic"/>
        <w:b/>
        <w:sz w:val="24"/>
        <w:szCs w:val="24"/>
      </w:rPr>
      <w:t xml:space="preserve">EN SENTIDO NEGATIVO, </w:t>
    </w:r>
    <w:r w:rsidRPr="00E0605F">
      <w:rPr>
        <w:rFonts w:ascii="Century Gothic" w:hAnsi="Century Gothic"/>
        <w:b/>
        <w:sz w:val="24"/>
        <w:szCs w:val="24"/>
      </w:rPr>
      <w:t xml:space="preserve">DEL PUNTO DE ACUERDO, POR EL QUE SE EXHORTA AL EJECUTIVO FEDERAL, </w:t>
    </w:r>
    <w:r w:rsidRPr="00831348">
      <w:rPr>
        <w:rFonts w:ascii="Century Gothic" w:hAnsi="Century Gothic"/>
        <w:b/>
        <w:sz w:val="24"/>
        <w:szCs w:val="24"/>
      </w:rPr>
      <w:t>A INCLUIR A LA REGIÓN DE LOS CINCO MANANTIALES A LA ZONA LIBRE FRONTERA NORTE</w:t>
    </w:r>
    <w:r>
      <w:rPr>
        <w:rFonts w:ascii="Century Gothic" w:hAnsi="Century Gothic"/>
        <w:b/>
        <w:sz w:val="24"/>
        <w:szCs w:val="24"/>
      </w:rPr>
      <w:t>.</w:t>
    </w:r>
  </w:p>
  <w:p w:rsidR="007D13BB" w:rsidRDefault="00C96C2C" w:rsidP="00C1646B">
    <w:pPr>
      <w:pStyle w:val="Encabezado"/>
    </w:pPr>
  </w:p>
  <w:p w:rsidR="007D13BB" w:rsidRDefault="00C96C2C" w:rsidP="00C1646B">
    <w:pPr>
      <w:pStyle w:val="Encabezado"/>
    </w:pPr>
  </w:p>
  <w:tbl>
    <w:tblPr>
      <w:tblStyle w:val="Tablaconcuadrcula"/>
      <w:tblW w:w="10916" w:type="dxa"/>
      <w:tblInd w:w="-998" w:type="dxa"/>
      <w:tblLook w:val="04A0" w:firstRow="1" w:lastRow="0" w:firstColumn="1" w:lastColumn="0" w:noHBand="0" w:noVBand="1"/>
    </w:tblPr>
    <w:tblGrid>
      <w:gridCol w:w="3205"/>
      <w:gridCol w:w="2750"/>
      <w:gridCol w:w="2693"/>
      <w:gridCol w:w="2268"/>
    </w:tblGrid>
    <w:tr w:rsidR="007D13BB" w:rsidRPr="00F6604D" w:rsidTr="00A855E3">
      <w:trPr>
        <w:tblHeader/>
      </w:trPr>
      <w:tc>
        <w:tcPr>
          <w:tcW w:w="3205" w:type="dxa"/>
          <w:shd w:val="clear" w:color="auto" w:fill="BFBFBF" w:themeFill="background1" w:themeFillShade="BF"/>
        </w:tcPr>
        <w:p w:rsidR="007D13BB" w:rsidRPr="00DF3C85" w:rsidRDefault="00C96C2C" w:rsidP="007D13BB">
          <w:pPr>
            <w:tabs>
              <w:tab w:val="left" w:pos="2760"/>
            </w:tabs>
            <w:rPr>
              <w:rFonts w:ascii="Century Gothic" w:hAnsi="Century Gothic"/>
              <w:sz w:val="24"/>
              <w:szCs w:val="24"/>
            </w:rPr>
          </w:pPr>
        </w:p>
      </w:tc>
      <w:tc>
        <w:tcPr>
          <w:tcW w:w="2750" w:type="dxa"/>
          <w:shd w:val="clear" w:color="auto" w:fill="BFBFBF" w:themeFill="background1" w:themeFillShade="BF"/>
        </w:tcPr>
        <w:p w:rsidR="007D13BB" w:rsidRPr="00F6604D" w:rsidRDefault="00B22CB3" w:rsidP="007D13BB">
          <w:pPr>
            <w:tabs>
              <w:tab w:val="left" w:pos="2760"/>
            </w:tabs>
            <w:jc w:val="center"/>
            <w:rPr>
              <w:rFonts w:ascii="Century Gothic" w:hAnsi="Century Gothic"/>
              <w:b/>
              <w:sz w:val="24"/>
              <w:szCs w:val="24"/>
            </w:rPr>
          </w:pPr>
          <w:r w:rsidRPr="00F6604D">
            <w:rPr>
              <w:rFonts w:ascii="Century Gothic" w:hAnsi="Century Gothic"/>
              <w:b/>
              <w:sz w:val="24"/>
              <w:szCs w:val="24"/>
            </w:rPr>
            <w:t>A FAVOR</w:t>
          </w:r>
        </w:p>
      </w:tc>
      <w:tc>
        <w:tcPr>
          <w:tcW w:w="2693" w:type="dxa"/>
          <w:shd w:val="clear" w:color="auto" w:fill="BFBFBF" w:themeFill="background1" w:themeFillShade="BF"/>
        </w:tcPr>
        <w:p w:rsidR="007D13BB" w:rsidRPr="00F6604D" w:rsidRDefault="00B22CB3" w:rsidP="007D13BB">
          <w:pPr>
            <w:tabs>
              <w:tab w:val="left" w:pos="2760"/>
            </w:tabs>
            <w:jc w:val="center"/>
            <w:rPr>
              <w:rFonts w:ascii="Century Gothic" w:hAnsi="Century Gothic"/>
              <w:b/>
              <w:sz w:val="24"/>
              <w:szCs w:val="24"/>
            </w:rPr>
          </w:pPr>
          <w:r w:rsidRPr="00F6604D">
            <w:rPr>
              <w:rFonts w:ascii="Century Gothic" w:hAnsi="Century Gothic"/>
              <w:b/>
              <w:sz w:val="24"/>
              <w:szCs w:val="24"/>
            </w:rPr>
            <w:t>EN CONTRA</w:t>
          </w:r>
        </w:p>
      </w:tc>
      <w:tc>
        <w:tcPr>
          <w:tcW w:w="2268" w:type="dxa"/>
          <w:shd w:val="clear" w:color="auto" w:fill="BFBFBF" w:themeFill="background1" w:themeFillShade="BF"/>
        </w:tcPr>
        <w:p w:rsidR="007D13BB" w:rsidRPr="00F6604D" w:rsidRDefault="00B22CB3" w:rsidP="007D13BB">
          <w:pPr>
            <w:tabs>
              <w:tab w:val="left" w:pos="2760"/>
            </w:tabs>
            <w:jc w:val="center"/>
            <w:rPr>
              <w:rFonts w:ascii="Century Gothic" w:hAnsi="Century Gothic"/>
              <w:b/>
              <w:sz w:val="24"/>
              <w:szCs w:val="24"/>
            </w:rPr>
          </w:pPr>
          <w:r w:rsidRPr="00F6604D">
            <w:rPr>
              <w:rFonts w:ascii="Century Gothic" w:hAnsi="Century Gothic"/>
              <w:b/>
              <w:sz w:val="24"/>
              <w:szCs w:val="24"/>
            </w:rPr>
            <w:t>ABSTENCIÓN</w:t>
          </w:r>
        </w:p>
      </w:tc>
    </w:tr>
  </w:tbl>
  <w:p w:rsidR="007D13BB" w:rsidRPr="007D13BB" w:rsidRDefault="00C96C2C" w:rsidP="00C1646B">
    <w:pPr>
      <w:pStyle w:val="Encabezad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C349B"/>
    <w:multiLevelType w:val="hybridMultilevel"/>
    <w:tmpl w:val="EA905AB6"/>
    <w:lvl w:ilvl="0" w:tplc="AACCEB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35A1FA8"/>
    <w:multiLevelType w:val="hybridMultilevel"/>
    <w:tmpl w:val="DB7A8F8C"/>
    <w:lvl w:ilvl="0" w:tplc="74C2CB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AB5"/>
    <w:rsid w:val="00002F97"/>
    <w:rsid w:val="0006787E"/>
    <w:rsid w:val="00131F02"/>
    <w:rsid w:val="0015074A"/>
    <w:rsid w:val="001B5C3C"/>
    <w:rsid w:val="001D7D87"/>
    <w:rsid w:val="00247853"/>
    <w:rsid w:val="00262AB5"/>
    <w:rsid w:val="00277F00"/>
    <w:rsid w:val="002D463A"/>
    <w:rsid w:val="002E12F2"/>
    <w:rsid w:val="002F2A12"/>
    <w:rsid w:val="00303564"/>
    <w:rsid w:val="003104BC"/>
    <w:rsid w:val="00327155"/>
    <w:rsid w:val="00356B99"/>
    <w:rsid w:val="003A1B1E"/>
    <w:rsid w:val="00433428"/>
    <w:rsid w:val="004610D1"/>
    <w:rsid w:val="0049057A"/>
    <w:rsid w:val="004C70FF"/>
    <w:rsid w:val="004D5737"/>
    <w:rsid w:val="004E05BA"/>
    <w:rsid w:val="00503A4F"/>
    <w:rsid w:val="00506A76"/>
    <w:rsid w:val="00564FE3"/>
    <w:rsid w:val="005A4D20"/>
    <w:rsid w:val="005A696D"/>
    <w:rsid w:val="00646F69"/>
    <w:rsid w:val="00651652"/>
    <w:rsid w:val="006F7E9F"/>
    <w:rsid w:val="00710409"/>
    <w:rsid w:val="00744A6A"/>
    <w:rsid w:val="00754FC8"/>
    <w:rsid w:val="007760CF"/>
    <w:rsid w:val="0081318E"/>
    <w:rsid w:val="008361C2"/>
    <w:rsid w:val="00890871"/>
    <w:rsid w:val="00994DA0"/>
    <w:rsid w:val="00A265AD"/>
    <w:rsid w:val="00A31F4E"/>
    <w:rsid w:val="00A449C8"/>
    <w:rsid w:val="00A461FE"/>
    <w:rsid w:val="00A52430"/>
    <w:rsid w:val="00AC3E1E"/>
    <w:rsid w:val="00B10BF4"/>
    <w:rsid w:val="00B22CB3"/>
    <w:rsid w:val="00B868E8"/>
    <w:rsid w:val="00C25885"/>
    <w:rsid w:val="00C3311C"/>
    <w:rsid w:val="00C96C2C"/>
    <w:rsid w:val="00CE399C"/>
    <w:rsid w:val="00D45E53"/>
    <w:rsid w:val="00D77F6E"/>
    <w:rsid w:val="00DD4AEA"/>
    <w:rsid w:val="00DD5B63"/>
    <w:rsid w:val="00E22EC8"/>
    <w:rsid w:val="00E30035"/>
    <w:rsid w:val="00E47C87"/>
    <w:rsid w:val="00E6647E"/>
    <w:rsid w:val="00E91D28"/>
    <w:rsid w:val="00EC3290"/>
    <w:rsid w:val="00ED7816"/>
    <w:rsid w:val="00F06D7C"/>
    <w:rsid w:val="00F2121B"/>
    <w:rsid w:val="00F23944"/>
    <w:rsid w:val="00F64AE1"/>
    <w:rsid w:val="00F71871"/>
    <w:rsid w:val="00FA229A"/>
    <w:rsid w:val="00FB7C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C2372"/>
  <w15:chartTrackingRefBased/>
  <w15:docId w15:val="{E78C30C8-BBEE-461E-9C8D-2710011B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2A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AB5"/>
  </w:style>
  <w:style w:type="paragraph" w:styleId="Piedepgina">
    <w:name w:val="footer"/>
    <w:basedOn w:val="Normal"/>
    <w:link w:val="PiedepginaCar"/>
    <w:uiPriority w:val="99"/>
    <w:unhideWhenUsed/>
    <w:rsid w:val="00262A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2AB5"/>
  </w:style>
  <w:style w:type="paragraph" w:styleId="Textonotapie">
    <w:name w:val="footnote text"/>
    <w:basedOn w:val="Normal"/>
    <w:link w:val="TextonotapieCar"/>
    <w:uiPriority w:val="99"/>
    <w:semiHidden/>
    <w:unhideWhenUsed/>
    <w:rsid w:val="00C2588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5885"/>
    <w:rPr>
      <w:sz w:val="20"/>
      <w:szCs w:val="20"/>
    </w:rPr>
  </w:style>
  <w:style w:type="character" w:styleId="Refdenotaalpie">
    <w:name w:val="footnote reference"/>
    <w:basedOn w:val="Fuentedeprrafopredeter"/>
    <w:uiPriority w:val="99"/>
    <w:semiHidden/>
    <w:unhideWhenUsed/>
    <w:rsid w:val="00C25885"/>
    <w:rPr>
      <w:vertAlign w:val="superscript"/>
    </w:rPr>
  </w:style>
  <w:style w:type="character" w:styleId="Hipervnculo">
    <w:name w:val="Hyperlink"/>
    <w:basedOn w:val="Fuentedeprrafopredeter"/>
    <w:uiPriority w:val="99"/>
    <w:unhideWhenUsed/>
    <w:rsid w:val="00C25885"/>
    <w:rPr>
      <w:color w:val="0563C1" w:themeColor="hyperlink"/>
      <w:u w:val="single"/>
    </w:rPr>
  </w:style>
  <w:style w:type="paragraph" w:styleId="Prrafodelista">
    <w:name w:val="List Paragraph"/>
    <w:basedOn w:val="Normal"/>
    <w:uiPriority w:val="34"/>
    <w:qFormat/>
    <w:rsid w:val="00B10BF4"/>
    <w:pPr>
      <w:ind w:left="720"/>
      <w:contextualSpacing/>
    </w:pPr>
  </w:style>
  <w:style w:type="paragraph" w:styleId="Textodeglobo">
    <w:name w:val="Balloon Text"/>
    <w:basedOn w:val="Normal"/>
    <w:link w:val="TextodegloboCar"/>
    <w:uiPriority w:val="99"/>
    <w:semiHidden/>
    <w:unhideWhenUsed/>
    <w:rsid w:val="00F212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21B"/>
    <w:rPr>
      <w:rFonts w:ascii="Segoe UI" w:hAnsi="Segoe UI" w:cs="Segoe UI"/>
      <w:sz w:val="18"/>
      <w:szCs w:val="18"/>
    </w:rPr>
  </w:style>
  <w:style w:type="table" w:styleId="Tablaconcuadrcula">
    <w:name w:val="Table Grid"/>
    <w:basedOn w:val="Tablanormal"/>
    <w:uiPriority w:val="39"/>
    <w:rsid w:val="00DD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leconomista.com.mx/estados/Precio-de-la-gasolina-baja-en-la-frontera-norte-20190101-0086.html" TargetMode="External"/><Relationship Id="rId2" Type="http://schemas.openxmlformats.org/officeDocument/2006/relationships/hyperlink" Target="https://www.dof.gob.mx/nota_detalle.php?codigo=5547485&amp;fecha=31/12/2018" TargetMode="External"/><Relationship Id="rId1" Type="http://schemas.openxmlformats.org/officeDocument/2006/relationships/hyperlink" Target="https://www2.deloitte.com/content/dam/Deloitte/mx/Documents/tax/flashes-2018/Decreto-de-Estimulos-Fiscales-Region-Fronteriza-Norte.pdf" TargetMode="External"/><Relationship Id="rId5" Type="http://schemas.openxmlformats.org/officeDocument/2006/relationships/hyperlink" Target="http://www.diputados.gob.mx/LeyesBiblio/pdf/8_241218.pdf" TargetMode="External"/><Relationship Id="rId4" Type="http://schemas.openxmlformats.org/officeDocument/2006/relationships/hyperlink" Target="https://www.scjn.gob.mx/sites/default/files/cpeum/documento/2017-03/CPEUM-03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E5DFD-803F-43B4-8E41-6F6BE760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3180</Words>
  <Characters>17495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2019-03-15T18:48:00Z</cp:lastPrinted>
  <dcterms:created xsi:type="dcterms:W3CDTF">2019-03-01T19:18:00Z</dcterms:created>
  <dcterms:modified xsi:type="dcterms:W3CDTF">2019-03-15T23:27:00Z</dcterms:modified>
</cp:coreProperties>
</file>