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32" w:rsidRPr="00EB1B7D" w:rsidRDefault="00900B32" w:rsidP="0029549D">
      <w:pPr>
        <w:jc w:val="center"/>
        <w:rPr>
          <w:rFonts w:ascii="Helvetica" w:hAnsi="Helvetica"/>
          <w:b/>
          <w:bCs/>
        </w:rPr>
      </w:pPr>
    </w:p>
    <w:p w:rsidR="0029549D" w:rsidRPr="00EB1B7D" w:rsidRDefault="0029549D" w:rsidP="0029549D">
      <w:pPr>
        <w:jc w:val="center"/>
        <w:rPr>
          <w:rFonts w:ascii="Helvetica" w:hAnsi="Helvetica"/>
          <w:b/>
          <w:bCs/>
        </w:rPr>
      </w:pPr>
      <w:r w:rsidRPr="00EB1B7D">
        <w:rPr>
          <w:rFonts w:ascii="Helvetica" w:hAnsi="Helvetica"/>
          <w:b/>
          <w:bCs/>
        </w:rPr>
        <w:t xml:space="preserve">INFORME DE TRABAJO </w:t>
      </w:r>
      <w:r w:rsidR="001A7CA1" w:rsidRPr="00EB1B7D">
        <w:rPr>
          <w:rFonts w:ascii="Helvetica" w:hAnsi="Helvetica"/>
          <w:b/>
          <w:bCs/>
        </w:rPr>
        <w:t xml:space="preserve">DE </w:t>
      </w:r>
      <w:r w:rsidRPr="00EB1B7D">
        <w:rPr>
          <w:rFonts w:ascii="Helvetica" w:hAnsi="Helvetica"/>
          <w:b/>
          <w:bCs/>
        </w:rPr>
        <w:t>LA COMISIÓN DE JUSTICIA</w:t>
      </w:r>
    </w:p>
    <w:p w:rsidR="0029549D" w:rsidRPr="00EB1B7D" w:rsidRDefault="0029549D" w:rsidP="00900B32">
      <w:pPr>
        <w:rPr>
          <w:rFonts w:ascii="Helvetica" w:hAnsi="Helvetica"/>
          <w:b/>
          <w:bCs/>
        </w:rPr>
      </w:pPr>
    </w:p>
    <w:p w:rsidR="00900B32" w:rsidRPr="00EB1B7D" w:rsidRDefault="00900B32" w:rsidP="00900B32">
      <w:pPr>
        <w:rPr>
          <w:rFonts w:ascii="Helvetica" w:hAnsi="Helvetica"/>
          <w:b/>
          <w:bCs/>
        </w:rPr>
      </w:pPr>
      <w:r w:rsidRPr="00EB1B7D">
        <w:rPr>
          <w:rFonts w:ascii="Helvetica" w:hAnsi="Helvetica"/>
          <w:b/>
          <w:bCs/>
        </w:rPr>
        <w:t>C.C. Integrantes de la Comisión de Justicia,</w:t>
      </w:r>
    </w:p>
    <w:p w:rsidR="00900B32" w:rsidRPr="00EB1B7D" w:rsidRDefault="00900B32" w:rsidP="00900B32">
      <w:pPr>
        <w:rPr>
          <w:rFonts w:ascii="Helvetica" w:hAnsi="Helvetica"/>
          <w:b/>
          <w:bCs/>
        </w:rPr>
      </w:pPr>
      <w:r w:rsidRPr="00EB1B7D">
        <w:rPr>
          <w:rFonts w:ascii="Helvetica" w:hAnsi="Helvetica"/>
          <w:b/>
          <w:bCs/>
        </w:rPr>
        <w:t>P r e s e n t e s.</w:t>
      </w:r>
    </w:p>
    <w:p w:rsidR="00900B32" w:rsidRPr="00EB1B7D" w:rsidRDefault="00900B32" w:rsidP="00900B32">
      <w:pPr>
        <w:rPr>
          <w:rFonts w:ascii="Helvetica" w:hAnsi="Helvetica"/>
          <w:b/>
          <w:bCs/>
        </w:rPr>
      </w:pPr>
    </w:p>
    <w:p w:rsidR="0029549D" w:rsidRPr="00EB1B7D" w:rsidRDefault="00900B32" w:rsidP="0029549D">
      <w:pPr>
        <w:jc w:val="both"/>
        <w:rPr>
          <w:rFonts w:ascii="Helvetica" w:hAnsi="Helvetica"/>
        </w:rPr>
      </w:pPr>
      <w:r w:rsidRPr="00EB1B7D">
        <w:rPr>
          <w:rFonts w:ascii="Helvetica" w:hAnsi="Helvetica"/>
        </w:rPr>
        <w:t>A partir</w:t>
      </w:r>
      <w:r w:rsidR="0029549D" w:rsidRPr="00EB1B7D">
        <w:rPr>
          <w:rFonts w:ascii="Helvetica" w:hAnsi="Helvetica"/>
        </w:rPr>
        <w:t xml:space="preserve"> </w:t>
      </w:r>
      <w:r w:rsidRPr="00EB1B7D">
        <w:rPr>
          <w:rFonts w:ascii="Helvetica" w:hAnsi="Helvetica"/>
        </w:rPr>
        <w:t>d</w:t>
      </w:r>
      <w:r w:rsidR="0029549D" w:rsidRPr="00EB1B7D">
        <w:rPr>
          <w:rFonts w:ascii="Helvetica" w:hAnsi="Helvetica"/>
        </w:rPr>
        <w:t>el 17 de octubre de 2018, fecha de su instalación, hasta el presente (periodo comprendido dentro del primer año de ejercicio de la LXIV Legislatura) la Comisión de Justicia ha realizado:</w:t>
      </w:r>
    </w:p>
    <w:p w:rsidR="0029549D" w:rsidRPr="00EB1B7D" w:rsidRDefault="0029549D" w:rsidP="0029549D">
      <w:pPr>
        <w:jc w:val="both"/>
        <w:rPr>
          <w:rFonts w:ascii="Helvetica" w:hAnsi="Helvetica"/>
        </w:rPr>
      </w:pPr>
    </w:p>
    <w:p w:rsidR="0029549D" w:rsidRDefault="0029549D" w:rsidP="0029549D">
      <w:pPr>
        <w:pStyle w:val="Prrafodelista"/>
        <w:numPr>
          <w:ilvl w:val="0"/>
          <w:numId w:val="1"/>
        </w:numPr>
        <w:jc w:val="both"/>
        <w:rPr>
          <w:rFonts w:ascii="Helvetica" w:hAnsi="Helvetica"/>
        </w:rPr>
      </w:pPr>
      <w:r w:rsidRPr="00EB1B7D">
        <w:rPr>
          <w:rFonts w:ascii="Helvetica" w:hAnsi="Helvetica"/>
        </w:rPr>
        <w:t xml:space="preserve">9 </w:t>
      </w:r>
      <w:r w:rsidR="001E071B">
        <w:rPr>
          <w:rFonts w:ascii="Helvetica" w:hAnsi="Helvetica"/>
        </w:rPr>
        <w:t>Reuniones</w:t>
      </w:r>
      <w:r w:rsidRPr="00EB1B7D">
        <w:rPr>
          <w:rFonts w:ascii="Helvetica" w:hAnsi="Helvetica"/>
        </w:rPr>
        <w:t xml:space="preserve"> Ordinarias</w:t>
      </w:r>
      <w:r w:rsidR="001E071B">
        <w:rPr>
          <w:rFonts w:ascii="Helvetica" w:hAnsi="Helvetica"/>
        </w:rPr>
        <w:t>;</w:t>
      </w:r>
    </w:p>
    <w:p w:rsidR="001E071B" w:rsidRPr="00EB1B7D" w:rsidRDefault="001E071B" w:rsidP="0029549D">
      <w:pPr>
        <w:pStyle w:val="Prrafodelista"/>
        <w:numPr>
          <w:ilvl w:val="0"/>
          <w:numId w:val="1"/>
        </w:numPr>
        <w:jc w:val="both"/>
        <w:rPr>
          <w:rFonts w:ascii="Helvetica" w:hAnsi="Helvetica"/>
        </w:rPr>
      </w:pPr>
      <w:r>
        <w:rPr>
          <w:rFonts w:ascii="Helvetica" w:hAnsi="Helvetica"/>
        </w:rPr>
        <w:t>1 Reunión Extraordinaria</w:t>
      </w:r>
      <w:r w:rsidR="00B075DF">
        <w:rPr>
          <w:rFonts w:ascii="Helvetica" w:hAnsi="Helvetica"/>
        </w:rPr>
        <w:t xml:space="preserve"> (en Comisiones Unidas);</w:t>
      </w:r>
    </w:p>
    <w:p w:rsidR="0029549D" w:rsidRDefault="0029549D" w:rsidP="0029549D">
      <w:pPr>
        <w:pStyle w:val="Prrafodelista"/>
        <w:numPr>
          <w:ilvl w:val="0"/>
          <w:numId w:val="1"/>
        </w:numPr>
        <w:jc w:val="both"/>
        <w:rPr>
          <w:rFonts w:ascii="Helvetica" w:hAnsi="Helvetica"/>
        </w:rPr>
      </w:pPr>
      <w:r w:rsidRPr="00EB1B7D">
        <w:rPr>
          <w:rFonts w:ascii="Helvetica" w:hAnsi="Helvetica"/>
        </w:rPr>
        <w:t xml:space="preserve">11 Reuniones de </w:t>
      </w:r>
      <w:r w:rsidR="00B075DF">
        <w:rPr>
          <w:rFonts w:ascii="Helvetica" w:hAnsi="Helvetica"/>
        </w:rPr>
        <w:t xml:space="preserve">la </w:t>
      </w:r>
      <w:r w:rsidRPr="00EB1B7D">
        <w:rPr>
          <w:rFonts w:ascii="Helvetica" w:hAnsi="Helvetica"/>
        </w:rPr>
        <w:t>Junta Directiva</w:t>
      </w:r>
      <w:r w:rsidR="00B075DF">
        <w:rPr>
          <w:rFonts w:ascii="Helvetica" w:hAnsi="Helvetica"/>
        </w:rPr>
        <w:t>, y</w:t>
      </w:r>
    </w:p>
    <w:p w:rsidR="00B075DF" w:rsidRDefault="00B075DF" w:rsidP="0029549D">
      <w:pPr>
        <w:pStyle w:val="Prrafodelista"/>
        <w:numPr>
          <w:ilvl w:val="0"/>
          <w:numId w:val="1"/>
        </w:numPr>
        <w:jc w:val="both"/>
        <w:rPr>
          <w:rFonts w:ascii="Helvetica" w:hAnsi="Helvetica"/>
        </w:rPr>
      </w:pPr>
      <w:r>
        <w:rPr>
          <w:rFonts w:ascii="Helvetica" w:hAnsi="Helvetica"/>
        </w:rPr>
        <w:t>2 Ejercicios de Parlamento Abierto</w:t>
      </w:r>
    </w:p>
    <w:p w:rsidR="0029549D" w:rsidRPr="00EB1B7D" w:rsidRDefault="0029549D" w:rsidP="0029549D">
      <w:pPr>
        <w:jc w:val="both"/>
        <w:rPr>
          <w:rFonts w:ascii="Helvetica" w:hAnsi="Helvetica"/>
        </w:rPr>
      </w:pPr>
    </w:p>
    <w:p w:rsidR="004D4AAE" w:rsidRPr="00EB1B7D" w:rsidRDefault="0029549D" w:rsidP="004D4AAE">
      <w:pPr>
        <w:jc w:val="both"/>
        <w:rPr>
          <w:rFonts w:ascii="Helvetica" w:hAnsi="Helvetica"/>
        </w:rPr>
      </w:pPr>
      <w:r w:rsidRPr="00EB1B7D">
        <w:rPr>
          <w:rFonts w:ascii="Helvetica" w:hAnsi="Helvetica"/>
        </w:rPr>
        <w:t>La Mesa Directiva le ha turnado para su dictaminación, opinión o conocimiento</w:t>
      </w:r>
      <w:r w:rsidR="00B075DF">
        <w:rPr>
          <w:rFonts w:ascii="Helvetica" w:hAnsi="Helvetica"/>
        </w:rPr>
        <w:t xml:space="preserve"> </w:t>
      </w:r>
      <w:r w:rsidRPr="00B075DF">
        <w:rPr>
          <w:rFonts w:ascii="Helvetica" w:hAnsi="Helvetica"/>
          <w:b/>
          <w:bCs/>
        </w:rPr>
        <w:t>258 asuntos</w:t>
      </w:r>
      <w:r w:rsidR="00B075DF">
        <w:rPr>
          <w:rFonts w:ascii="Helvetica" w:hAnsi="Helvetica"/>
        </w:rPr>
        <w:t>, d</w:t>
      </w:r>
      <w:r w:rsidRPr="00EB1B7D">
        <w:rPr>
          <w:rFonts w:ascii="Helvetica" w:hAnsi="Helvetica"/>
        </w:rPr>
        <w:t>e los cuales:</w:t>
      </w:r>
    </w:p>
    <w:p w:rsidR="0029549D" w:rsidRPr="00EB1B7D" w:rsidRDefault="0029549D" w:rsidP="004D4AAE">
      <w:pPr>
        <w:jc w:val="both"/>
        <w:rPr>
          <w:rFonts w:ascii="Helvetica" w:hAnsi="Helvetica"/>
        </w:rPr>
      </w:pPr>
    </w:p>
    <w:p w:rsidR="0029549D" w:rsidRPr="00EB1B7D" w:rsidRDefault="0029549D" w:rsidP="0029549D">
      <w:pPr>
        <w:pStyle w:val="Prrafodelista"/>
        <w:numPr>
          <w:ilvl w:val="0"/>
          <w:numId w:val="2"/>
        </w:numPr>
        <w:jc w:val="both"/>
        <w:rPr>
          <w:rFonts w:ascii="Helvetica" w:hAnsi="Helvetica"/>
        </w:rPr>
      </w:pPr>
      <w:r w:rsidRPr="00EB1B7D">
        <w:rPr>
          <w:rFonts w:ascii="Helvetica" w:hAnsi="Helvetica"/>
        </w:rPr>
        <w:t xml:space="preserve">193 corresponden a </w:t>
      </w:r>
      <w:r w:rsidR="000C5B10" w:rsidRPr="00EB1B7D">
        <w:rPr>
          <w:rFonts w:ascii="Helvetica" w:hAnsi="Helvetica"/>
        </w:rPr>
        <w:t>I</w:t>
      </w:r>
      <w:r w:rsidRPr="00EB1B7D">
        <w:rPr>
          <w:rFonts w:ascii="Helvetica" w:hAnsi="Helvetica"/>
        </w:rPr>
        <w:t xml:space="preserve">niciativas con </w:t>
      </w:r>
      <w:r w:rsidR="000C5B10" w:rsidRPr="00EB1B7D">
        <w:rPr>
          <w:rFonts w:ascii="Helvetica" w:hAnsi="Helvetica"/>
        </w:rPr>
        <w:t>P</w:t>
      </w:r>
      <w:r w:rsidRPr="00EB1B7D">
        <w:rPr>
          <w:rFonts w:ascii="Helvetica" w:hAnsi="Helvetica"/>
        </w:rPr>
        <w:t xml:space="preserve">royecto de </w:t>
      </w:r>
      <w:r w:rsidR="000C5B10" w:rsidRPr="00EB1B7D">
        <w:rPr>
          <w:rFonts w:ascii="Helvetica" w:hAnsi="Helvetica"/>
        </w:rPr>
        <w:t>D</w:t>
      </w:r>
      <w:r w:rsidRPr="00EB1B7D">
        <w:rPr>
          <w:rFonts w:ascii="Helvetica" w:hAnsi="Helvetica"/>
        </w:rPr>
        <w:t>ecreto;</w:t>
      </w:r>
    </w:p>
    <w:p w:rsidR="0029549D" w:rsidRPr="00EB1B7D" w:rsidRDefault="0029549D" w:rsidP="0029549D">
      <w:pPr>
        <w:pStyle w:val="Prrafodelista"/>
        <w:numPr>
          <w:ilvl w:val="0"/>
          <w:numId w:val="2"/>
        </w:numPr>
        <w:jc w:val="both"/>
        <w:rPr>
          <w:rFonts w:ascii="Helvetica" w:hAnsi="Helvetica"/>
        </w:rPr>
      </w:pPr>
      <w:r w:rsidRPr="00EB1B7D">
        <w:rPr>
          <w:rFonts w:ascii="Helvetica" w:hAnsi="Helvetica"/>
        </w:rPr>
        <w:t xml:space="preserve">56 corresponden a </w:t>
      </w:r>
      <w:r w:rsidR="000C5B10" w:rsidRPr="00EB1B7D">
        <w:rPr>
          <w:rFonts w:ascii="Helvetica" w:hAnsi="Helvetica"/>
        </w:rPr>
        <w:t>P</w:t>
      </w:r>
      <w:r w:rsidR="009056E9" w:rsidRPr="00EB1B7D">
        <w:rPr>
          <w:rFonts w:ascii="Helvetica" w:hAnsi="Helvetica"/>
        </w:rPr>
        <w:t xml:space="preserve">roposiciones con </w:t>
      </w:r>
      <w:r w:rsidR="000C5B10" w:rsidRPr="00EB1B7D">
        <w:rPr>
          <w:rFonts w:ascii="Helvetica" w:hAnsi="Helvetica"/>
        </w:rPr>
        <w:t>P</w:t>
      </w:r>
      <w:r w:rsidRPr="00EB1B7D">
        <w:rPr>
          <w:rFonts w:ascii="Helvetica" w:hAnsi="Helvetica"/>
        </w:rPr>
        <w:t xml:space="preserve">unto de </w:t>
      </w:r>
      <w:r w:rsidR="000C5B10" w:rsidRPr="00EB1B7D">
        <w:rPr>
          <w:rFonts w:ascii="Helvetica" w:hAnsi="Helvetica"/>
        </w:rPr>
        <w:t>A</w:t>
      </w:r>
      <w:r w:rsidRPr="00EB1B7D">
        <w:rPr>
          <w:rFonts w:ascii="Helvetica" w:hAnsi="Helvetica"/>
        </w:rPr>
        <w:t>cuerdo;</w:t>
      </w:r>
    </w:p>
    <w:p w:rsidR="0029549D" w:rsidRPr="00EB1B7D" w:rsidRDefault="0029549D" w:rsidP="0029549D">
      <w:pPr>
        <w:pStyle w:val="Prrafodelista"/>
        <w:numPr>
          <w:ilvl w:val="0"/>
          <w:numId w:val="2"/>
        </w:numPr>
        <w:jc w:val="both"/>
        <w:rPr>
          <w:rFonts w:ascii="Helvetica" w:hAnsi="Helvetica"/>
        </w:rPr>
      </w:pPr>
      <w:r w:rsidRPr="00EB1B7D">
        <w:rPr>
          <w:rFonts w:ascii="Helvetica" w:hAnsi="Helvetica"/>
        </w:rPr>
        <w:t>6 corresponden a Minutas, y</w:t>
      </w:r>
    </w:p>
    <w:p w:rsidR="0029549D" w:rsidRPr="00EB1B7D" w:rsidRDefault="009056E9" w:rsidP="0029549D">
      <w:pPr>
        <w:pStyle w:val="Prrafodelista"/>
        <w:numPr>
          <w:ilvl w:val="0"/>
          <w:numId w:val="2"/>
        </w:numPr>
        <w:jc w:val="both"/>
        <w:rPr>
          <w:rFonts w:ascii="Helvetica" w:hAnsi="Helvetica"/>
        </w:rPr>
      </w:pPr>
      <w:r w:rsidRPr="00EB1B7D">
        <w:rPr>
          <w:rFonts w:ascii="Helvetica" w:hAnsi="Helvetica"/>
        </w:rPr>
        <w:t>3 corresponden a Informes.</w:t>
      </w:r>
    </w:p>
    <w:p w:rsidR="004D4AAE" w:rsidRPr="00EB1B7D" w:rsidRDefault="004D4AAE" w:rsidP="004D4AAE">
      <w:pPr>
        <w:jc w:val="both"/>
        <w:rPr>
          <w:rFonts w:ascii="Helvetica" w:hAnsi="Helvetica"/>
        </w:rPr>
      </w:pPr>
    </w:p>
    <w:p w:rsidR="009056E9" w:rsidRDefault="009056E9" w:rsidP="004D4AAE">
      <w:pPr>
        <w:jc w:val="both"/>
        <w:rPr>
          <w:rFonts w:ascii="Helvetica" w:hAnsi="Helvetica"/>
        </w:rPr>
      </w:pPr>
      <w:r w:rsidRPr="00EB1B7D">
        <w:rPr>
          <w:rFonts w:ascii="Helvetica" w:hAnsi="Helvetica"/>
        </w:rPr>
        <w:t>Para mejor ilustrar, la clasificación de los asuntos recibidos en la Comisión se presenta en el siguiente gráfico:</w:t>
      </w:r>
    </w:p>
    <w:p w:rsidR="00B075DF" w:rsidRPr="00EB1B7D" w:rsidRDefault="00B075DF" w:rsidP="004D4AAE">
      <w:pPr>
        <w:jc w:val="both"/>
        <w:rPr>
          <w:rFonts w:ascii="Helvetica" w:hAnsi="Helvetica"/>
        </w:rPr>
      </w:pPr>
    </w:p>
    <w:p w:rsidR="009056E9" w:rsidRPr="00EB1B7D" w:rsidRDefault="009056E9" w:rsidP="009056E9">
      <w:pPr>
        <w:jc w:val="center"/>
        <w:rPr>
          <w:rFonts w:ascii="Helvetica" w:hAnsi="Helvetica"/>
        </w:rPr>
      </w:pPr>
      <w:r w:rsidRPr="00EB1B7D">
        <w:rPr>
          <w:rFonts w:ascii="Helvetica" w:hAnsi="Helvetica"/>
          <w:noProof/>
        </w:rPr>
        <w:drawing>
          <wp:inline distT="0" distB="0" distL="0" distR="0">
            <wp:extent cx="4914900" cy="2277208"/>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56E9" w:rsidRPr="00EB1B7D" w:rsidRDefault="009056E9" w:rsidP="009056E9">
      <w:pPr>
        <w:jc w:val="both"/>
        <w:rPr>
          <w:rFonts w:ascii="Helvetica" w:hAnsi="Helvetica"/>
        </w:rPr>
      </w:pPr>
    </w:p>
    <w:p w:rsidR="009056E9" w:rsidRPr="00EB1B7D" w:rsidRDefault="000C5B10" w:rsidP="009056E9">
      <w:pPr>
        <w:jc w:val="both"/>
        <w:rPr>
          <w:rFonts w:ascii="Helvetica" w:hAnsi="Helvetica"/>
        </w:rPr>
      </w:pPr>
      <w:r w:rsidRPr="00EB1B7D">
        <w:rPr>
          <w:rFonts w:ascii="Helvetica" w:hAnsi="Helvetica"/>
        </w:rPr>
        <w:lastRenderedPageBreak/>
        <w:t>Durante el Segundo Periodo Ordinario de Sesiones se ha</w:t>
      </w:r>
      <w:r w:rsidR="001A7CA1" w:rsidRPr="00EB1B7D">
        <w:rPr>
          <w:rFonts w:ascii="Helvetica" w:hAnsi="Helvetica"/>
        </w:rPr>
        <w:t>n</w:t>
      </w:r>
      <w:r w:rsidRPr="00EB1B7D">
        <w:rPr>
          <w:rFonts w:ascii="Helvetica" w:hAnsi="Helvetica"/>
        </w:rPr>
        <w:t xml:space="preserve"> atendido un total de:</w:t>
      </w:r>
    </w:p>
    <w:p w:rsidR="000C5B10" w:rsidRPr="00EB1B7D" w:rsidRDefault="000C5B10" w:rsidP="009056E9">
      <w:pPr>
        <w:jc w:val="both"/>
        <w:rPr>
          <w:rFonts w:ascii="Helvetica" w:hAnsi="Helvetica"/>
        </w:rPr>
      </w:pPr>
    </w:p>
    <w:p w:rsidR="000C5B10" w:rsidRPr="00EB1B7D" w:rsidRDefault="000C5B10" w:rsidP="000C5B10">
      <w:pPr>
        <w:pStyle w:val="Prrafodelista"/>
        <w:numPr>
          <w:ilvl w:val="0"/>
          <w:numId w:val="3"/>
        </w:numPr>
        <w:jc w:val="both"/>
        <w:rPr>
          <w:rFonts w:ascii="Helvetica" w:hAnsi="Helvetica"/>
        </w:rPr>
      </w:pPr>
      <w:r w:rsidRPr="00EB1B7D">
        <w:rPr>
          <w:rFonts w:ascii="Helvetica" w:hAnsi="Helvetica"/>
        </w:rPr>
        <w:t>53 asuntos.</w:t>
      </w:r>
    </w:p>
    <w:p w:rsidR="000C5B10" w:rsidRPr="00EB1B7D" w:rsidRDefault="000C5B10" w:rsidP="000C5B10">
      <w:pPr>
        <w:jc w:val="both"/>
        <w:rPr>
          <w:rFonts w:ascii="Helvetica" w:hAnsi="Helvetica"/>
        </w:rPr>
      </w:pPr>
    </w:p>
    <w:p w:rsidR="000C5B10" w:rsidRPr="00EB1B7D" w:rsidRDefault="000C5B10" w:rsidP="000C5B10">
      <w:pPr>
        <w:jc w:val="both"/>
        <w:rPr>
          <w:rFonts w:ascii="Helvetica" w:hAnsi="Helvetica"/>
        </w:rPr>
      </w:pPr>
      <w:r w:rsidRPr="00EB1B7D">
        <w:rPr>
          <w:rFonts w:ascii="Helvetica" w:hAnsi="Helvetica"/>
        </w:rPr>
        <w:t>Que corresponden a:</w:t>
      </w:r>
    </w:p>
    <w:p w:rsidR="000C5B10" w:rsidRPr="00EB1B7D" w:rsidRDefault="000C5B10" w:rsidP="000C5B10">
      <w:pPr>
        <w:jc w:val="both"/>
        <w:rPr>
          <w:rFonts w:ascii="Helvetica" w:hAnsi="Helvetica"/>
        </w:rPr>
      </w:pPr>
    </w:p>
    <w:p w:rsidR="000C5B10" w:rsidRPr="00EB1B7D" w:rsidRDefault="000C5B10" w:rsidP="000C5B10">
      <w:pPr>
        <w:pStyle w:val="Prrafodelista"/>
        <w:numPr>
          <w:ilvl w:val="0"/>
          <w:numId w:val="3"/>
        </w:numPr>
        <w:jc w:val="both"/>
        <w:rPr>
          <w:rFonts w:ascii="Helvetica" w:hAnsi="Helvetica"/>
        </w:rPr>
      </w:pPr>
      <w:r w:rsidRPr="00EB1B7D">
        <w:rPr>
          <w:rFonts w:ascii="Helvetica" w:hAnsi="Helvetica"/>
        </w:rPr>
        <w:t>35 Iniciativas Dictaminadas;</w:t>
      </w:r>
    </w:p>
    <w:p w:rsidR="000C5B10" w:rsidRPr="00EB1B7D" w:rsidRDefault="000C5B10" w:rsidP="000C5B10">
      <w:pPr>
        <w:pStyle w:val="Prrafodelista"/>
        <w:numPr>
          <w:ilvl w:val="0"/>
          <w:numId w:val="3"/>
        </w:numPr>
        <w:jc w:val="both"/>
        <w:rPr>
          <w:rFonts w:ascii="Helvetica" w:hAnsi="Helvetica"/>
        </w:rPr>
      </w:pPr>
      <w:r w:rsidRPr="00EB1B7D">
        <w:rPr>
          <w:rFonts w:ascii="Helvetica" w:hAnsi="Helvetica"/>
        </w:rPr>
        <w:t>4 Minutas Dictaminadas;</w:t>
      </w:r>
    </w:p>
    <w:p w:rsidR="000C5B10" w:rsidRPr="00EB1B7D" w:rsidRDefault="000C5B10" w:rsidP="000C5B10">
      <w:pPr>
        <w:pStyle w:val="Prrafodelista"/>
        <w:numPr>
          <w:ilvl w:val="0"/>
          <w:numId w:val="3"/>
        </w:numPr>
        <w:jc w:val="both"/>
        <w:rPr>
          <w:rFonts w:ascii="Helvetica" w:hAnsi="Helvetica"/>
        </w:rPr>
      </w:pPr>
      <w:r w:rsidRPr="00EB1B7D">
        <w:rPr>
          <w:rFonts w:ascii="Helvetica" w:hAnsi="Helvetica"/>
        </w:rPr>
        <w:t>12 Proposiciones con Punto de Acuerdo Dictaminados, y</w:t>
      </w:r>
    </w:p>
    <w:p w:rsidR="000C5B10" w:rsidRPr="00EB1B7D" w:rsidRDefault="000C5B10" w:rsidP="000C5B10">
      <w:pPr>
        <w:pStyle w:val="Prrafodelista"/>
        <w:numPr>
          <w:ilvl w:val="0"/>
          <w:numId w:val="3"/>
        </w:numPr>
        <w:jc w:val="both"/>
        <w:rPr>
          <w:rFonts w:ascii="Helvetica" w:hAnsi="Helvetica"/>
        </w:rPr>
      </w:pPr>
      <w:r w:rsidRPr="00EB1B7D">
        <w:rPr>
          <w:rFonts w:ascii="Helvetica" w:hAnsi="Helvetica"/>
        </w:rPr>
        <w:t>2 Opiniones emitidas.</w:t>
      </w:r>
    </w:p>
    <w:p w:rsidR="000C5B10" w:rsidRPr="00EB1B7D" w:rsidRDefault="000C5B10" w:rsidP="000C5B10">
      <w:pPr>
        <w:jc w:val="both"/>
        <w:rPr>
          <w:rFonts w:ascii="Helvetica" w:hAnsi="Helvetica"/>
        </w:rPr>
      </w:pPr>
    </w:p>
    <w:p w:rsidR="001A7CA1" w:rsidRPr="00EB1B7D" w:rsidRDefault="001A7CA1" w:rsidP="001A7CA1">
      <w:pPr>
        <w:jc w:val="both"/>
        <w:rPr>
          <w:rFonts w:ascii="Helvetica" w:hAnsi="Helvetica"/>
        </w:rPr>
      </w:pPr>
      <w:r w:rsidRPr="00EB1B7D">
        <w:rPr>
          <w:rFonts w:ascii="Helvetica" w:hAnsi="Helvetica"/>
        </w:rPr>
        <w:t xml:space="preserve">Para mejor ilustrar, la clasificación de los asuntos </w:t>
      </w:r>
      <w:r w:rsidR="0039517D" w:rsidRPr="00EB1B7D">
        <w:rPr>
          <w:rFonts w:ascii="Helvetica" w:hAnsi="Helvetica"/>
        </w:rPr>
        <w:t>atendidos</w:t>
      </w:r>
      <w:r w:rsidRPr="00EB1B7D">
        <w:rPr>
          <w:rFonts w:ascii="Helvetica" w:hAnsi="Helvetica"/>
        </w:rPr>
        <w:t xml:space="preserve"> por la Comisión se presenta en el siguiente gráfico:</w:t>
      </w:r>
    </w:p>
    <w:p w:rsidR="001A7CA1" w:rsidRPr="00EB1B7D" w:rsidRDefault="001A7CA1" w:rsidP="001A7CA1">
      <w:pPr>
        <w:jc w:val="center"/>
        <w:rPr>
          <w:rFonts w:ascii="Helvetica" w:hAnsi="Helvetica"/>
        </w:rPr>
      </w:pPr>
      <w:r w:rsidRPr="00EB1B7D">
        <w:rPr>
          <w:rFonts w:ascii="Helvetica" w:hAnsi="Helvetica"/>
          <w:noProof/>
        </w:rPr>
        <w:drawing>
          <wp:inline distT="0" distB="0" distL="0" distR="0" wp14:anchorId="423E2896" wp14:editId="65A7DDFA">
            <wp:extent cx="4914900" cy="2795563"/>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7CA1" w:rsidRPr="00EB1B7D" w:rsidRDefault="001A7CA1" w:rsidP="000C5B10">
      <w:pPr>
        <w:jc w:val="both"/>
        <w:rPr>
          <w:rFonts w:ascii="Helvetica" w:hAnsi="Helvetica"/>
        </w:rPr>
      </w:pPr>
    </w:p>
    <w:p w:rsidR="000C5B10" w:rsidRPr="00EB1B7D" w:rsidRDefault="000C5B10" w:rsidP="000C5B10">
      <w:pPr>
        <w:jc w:val="both"/>
        <w:rPr>
          <w:rFonts w:ascii="Helvetica" w:hAnsi="Helvetica"/>
        </w:rPr>
      </w:pPr>
      <w:r w:rsidRPr="00EB1B7D">
        <w:rPr>
          <w:rFonts w:ascii="Helvetica" w:hAnsi="Helvetica"/>
        </w:rPr>
        <w:t>En cuanto a las 35 Iniciativas dictaminadas, el sentido de las mismas ha sido el siguiente:</w:t>
      </w:r>
    </w:p>
    <w:p w:rsidR="000C5B10" w:rsidRPr="00EB1B7D" w:rsidRDefault="000C5B10" w:rsidP="000C5B10">
      <w:pPr>
        <w:jc w:val="both"/>
        <w:rPr>
          <w:rFonts w:ascii="Helvetica" w:hAnsi="Helvetica"/>
        </w:rPr>
      </w:pPr>
    </w:p>
    <w:p w:rsidR="000C5B10" w:rsidRPr="00EB1B7D" w:rsidRDefault="000C5B10" w:rsidP="000C5B10">
      <w:pPr>
        <w:pStyle w:val="Prrafodelista"/>
        <w:numPr>
          <w:ilvl w:val="0"/>
          <w:numId w:val="4"/>
        </w:numPr>
        <w:jc w:val="both"/>
        <w:rPr>
          <w:rFonts w:ascii="Helvetica" w:hAnsi="Helvetica"/>
        </w:rPr>
      </w:pPr>
      <w:r w:rsidRPr="00EB1B7D">
        <w:rPr>
          <w:rFonts w:ascii="Helvetica" w:hAnsi="Helvetica"/>
        </w:rPr>
        <w:t>27 Iniciativas dictaminadas en sentido positivo, y</w:t>
      </w:r>
    </w:p>
    <w:p w:rsidR="000C5B10" w:rsidRPr="00EB1B7D" w:rsidRDefault="000C5B10" w:rsidP="000C5B10">
      <w:pPr>
        <w:pStyle w:val="Prrafodelista"/>
        <w:numPr>
          <w:ilvl w:val="0"/>
          <w:numId w:val="4"/>
        </w:numPr>
        <w:jc w:val="both"/>
        <w:rPr>
          <w:rFonts w:ascii="Helvetica" w:hAnsi="Helvetica"/>
        </w:rPr>
      </w:pPr>
      <w:r w:rsidRPr="00EB1B7D">
        <w:rPr>
          <w:rFonts w:ascii="Helvetica" w:hAnsi="Helvetica"/>
        </w:rPr>
        <w:t>8 Iniciativas dictaminadas en sentido negativo</w:t>
      </w:r>
      <w:r w:rsidR="00611F61" w:rsidRPr="00EB1B7D">
        <w:rPr>
          <w:rFonts w:ascii="Helvetica" w:hAnsi="Helvetica"/>
        </w:rPr>
        <w:t>.</w:t>
      </w:r>
    </w:p>
    <w:p w:rsidR="00611F61" w:rsidRPr="00EB1B7D" w:rsidRDefault="00611F61" w:rsidP="00611F61">
      <w:pPr>
        <w:jc w:val="both"/>
        <w:rPr>
          <w:rFonts w:ascii="Helvetica" w:hAnsi="Helvetica"/>
        </w:rPr>
      </w:pPr>
    </w:p>
    <w:p w:rsidR="0039517D" w:rsidRPr="00EB1B7D" w:rsidRDefault="0039517D" w:rsidP="00611F61">
      <w:pPr>
        <w:jc w:val="both"/>
        <w:rPr>
          <w:rFonts w:ascii="Helvetica" w:hAnsi="Helvetica"/>
        </w:rPr>
      </w:pPr>
    </w:p>
    <w:p w:rsidR="0039517D" w:rsidRPr="00EB1B7D" w:rsidRDefault="0039517D" w:rsidP="0039517D">
      <w:pPr>
        <w:jc w:val="both"/>
        <w:rPr>
          <w:rFonts w:ascii="Helvetica" w:hAnsi="Helvetica"/>
        </w:rPr>
      </w:pPr>
      <w:r w:rsidRPr="00EB1B7D">
        <w:rPr>
          <w:rFonts w:ascii="Helvetica" w:hAnsi="Helvetica"/>
        </w:rPr>
        <w:t>Para mejor ilustrar, el sentido de las iniciativas dictaminadas por la Comisión se presenta en el siguiente gráfico:</w:t>
      </w:r>
    </w:p>
    <w:p w:rsidR="0039517D" w:rsidRPr="00EB1B7D" w:rsidRDefault="0039517D" w:rsidP="00611F61">
      <w:pPr>
        <w:jc w:val="both"/>
        <w:rPr>
          <w:rFonts w:ascii="Helvetica" w:hAnsi="Helvetica"/>
        </w:rPr>
      </w:pPr>
    </w:p>
    <w:p w:rsidR="0039517D" w:rsidRPr="00EB1B7D" w:rsidRDefault="0039517D" w:rsidP="0039517D">
      <w:pPr>
        <w:jc w:val="center"/>
        <w:rPr>
          <w:rFonts w:ascii="Helvetica" w:hAnsi="Helvetica"/>
        </w:rPr>
      </w:pPr>
      <w:r w:rsidRPr="00EB1B7D">
        <w:rPr>
          <w:rFonts w:ascii="Helvetica" w:hAnsi="Helvetica"/>
          <w:noProof/>
        </w:rPr>
        <w:lastRenderedPageBreak/>
        <w:drawing>
          <wp:inline distT="0" distB="0" distL="0" distR="0" wp14:anchorId="423E2896" wp14:editId="65A7DDFA">
            <wp:extent cx="4914900" cy="2708031"/>
            <wp:effectExtent l="0" t="0" r="635" b="12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1F61" w:rsidRPr="00EB1B7D" w:rsidRDefault="00611F61" w:rsidP="00611F61">
      <w:pPr>
        <w:jc w:val="both"/>
        <w:rPr>
          <w:rFonts w:ascii="Helvetica" w:hAnsi="Helvetica"/>
        </w:rPr>
      </w:pPr>
      <w:r w:rsidRPr="00EB1B7D">
        <w:rPr>
          <w:rFonts w:ascii="Helvetica" w:hAnsi="Helvetica"/>
        </w:rPr>
        <w:t>Tod</w:t>
      </w:r>
      <w:r w:rsidR="00AA6298">
        <w:rPr>
          <w:rFonts w:ascii="Helvetica" w:hAnsi="Helvetica"/>
        </w:rPr>
        <w:t>o</w:t>
      </w:r>
      <w:r w:rsidRPr="00EB1B7D">
        <w:rPr>
          <w:rFonts w:ascii="Helvetica" w:hAnsi="Helvetica"/>
        </w:rPr>
        <w:t>s</w:t>
      </w:r>
      <w:r w:rsidR="00AA6298">
        <w:rPr>
          <w:rFonts w:ascii="Helvetica" w:hAnsi="Helvetica"/>
        </w:rPr>
        <w:t xml:space="preserve"> los dictámenes</w:t>
      </w:r>
      <w:r w:rsidRPr="00EB1B7D">
        <w:rPr>
          <w:rFonts w:ascii="Helvetica" w:hAnsi="Helvetica"/>
        </w:rPr>
        <w:t xml:space="preserve"> han sido turnad</w:t>
      </w:r>
      <w:r w:rsidR="00AA6298">
        <w:rPr>
          <w:rFonts w:ascii="Helvetica" w:hAnsi="Helvetica"/>
        </w:rPr>
        <w:t>o</w:t>
      </w:r>
      <w:r w:rsidRPr="00EB1B7D">
        <w:rPr>
          <w:rFonts w:ascii="Helvetica" w:hAnsi="Helvetica"/>
        </w:rPr>
        <w:t>s a la Mesa Directiva para su discusión en el Pleno, resultando que:</w:t>
      </w:r>
    </w:p>
    <w:p w:rsidR="00611F61" w:rsidRPr="00EB1B7D" w:rsidRDefault="00611F61" w:rsidP="00611F61">
      <w:pPr>
        <w:jc w:val="both"/>
        <w:rPr>
          <w:rFonts w:ascii="Helvetica" w:hAnsi="Helvetica"/>
        </w:rPr>
      </w:pPr>
    </w:p>
    <w:p w:rsidR="00611F61" w:rsidRPr="00EB1B7D" w:rsidRDefault="00611F61" w:rsidP="00611F61">
      <w:pPr>
        <w:pStyle w:val="Prrafodelista"/>
        <w:numPr>
          <w:ilvl w:val="0"/>
          <w:numId w:val="5"/>
        </w:numPr>
        <w:jc w:val="both"/>
        <w:rPr>
          <w:rFonts w:ascii="Helvetica" w:hAnsi="Helvetica"/>
        </w:rPr>
      </w:pPr>
      <w:r w:rsidRPr="00EB1B7D">
        <w:rPr>
          <w:rFonts w:ascii="Helvetica" w:hAnsi="Helvetica"/>
        </w:rPr>
        <w:t>14 dictámenes en sentido positivo han sido aprobadas en el Pleno;</w:t>
      </w:r>
    </w:p>
    <w:p w:rsidR="00611F61" w:rsidRPr="00EB1B7D" w:rsidRDefault="00611F61" w:rsidP="00611F61">
      <w:pPr>
        <w:pStyle w:val="Prrafodelista"/>
        <w:numPr>
          <w:ilvl w:val="0"/>
          <w:numId w:val="5"/>
        </w:numPr>
        <w:jc w:val="both"/>
        <w:rPr>
          <w:rFonts w:ascii="Helvetica" w:hAnsi="Helvetica"/>
        </w:rPr>
      </w:pPr>
      <w:r w:rsidRPr="00EB1B7D">
        <w:rPr>
          <w:rFonts w:ascii="Helvetica" w:hAnsi="Helvetica"/>
        </w:rPr>
        <w:t>1 dictamen en sentido negativo ha sido aprobado en el Pleno;</w:t>
      </w:r>
    </w:p>
    <w:p w:rsidR="00611F61" w:rsidRPr="00EB1B7D" w:rsidRDefault="00611F61" w:rsidP="00611F61">
      <w:pPr>
        <w:pStyle w:val="Prrafodelista"/>
        <w:numPr>
          <w:ilvl w:val="0"/>
          <w:numId w:val="5"/>
        </w:numPr>
        <w:jc w:val="both"/>
        <w:rPr>
          <w:rFonts w:ascii="Helvetica" w:hAnsi="Helvetica"/>
        </w:rPr>
      </w:pPr>
      <w:r w:rsidRPr="00EB1B7D">
        <w:rPr>
          <w:rFonts w:ascii="Helvetica" w:hAnsi="Helvetica"/>
        </w:rPr>
        <w:t>13 dictámenes en sentido positivo están pendientes de aprobarse en el Pleno, y</w:t>
      </w:r>
    </w:p>
    <w:p w:rsidR="00611F61" w:rsidRPr="00EB1B7D" w:rsidRDefault="00611F61" w:rsidP="00611F61">
      <w:pPr>
        <w:pStyle w:val="Prrafodelista"/>
        <w:numPr>
          <w:ilvl w:val="0"/>
          <w:numId w:val="5"/>
        </w:numPr>
        <w:jc w:val="both"/>
        <w:rPr>
          <w:rFonts w:ascii="Helvetica" w:hAnsi="Helvetica"/>
        </w:rPr>
      </w:pPr>
      <w:r w:rsidRPr="00EB1B7D">
        <w:rPr>
          <w:rFonts w:ascii="Helvetica" w:hAnsi="Helvetica"/>
        </w:rPr>
        <w:t>7 dictámenes en sentido negativo están pendientes de aprobarse en el Pleno.</w:t>
      </w:r>
    </w:p>
    <w:p w:rsidR="001A7CA1" w:rsidRPr="00EB1B7D" w:rsidRDefault="001A7CA1" w:rsidP="001A7CA1">
      <w:pPr>
        <w:jc w:val="both"/>
        <w:rPr>
          <w:rFonts w:ascii="Helvetica" w:hAnsi="Helvetica"/>
        </w:rPr>
      </w:pPr>
    </w:p>
    <w:p w:rsidR="001A7CA1" w:rsidRPr="00EB1B7D" w:rsidRDefault="0039517D" w:rsidP="001A7CA1">
      <w:pPr>
        <w:jc w:val="both"/>
        <w:rPr>
          <w:rFonts w:ascii="Helvetica" w:hAnsi="Helvetica"/>
        </w:rPr>
      </w:pPr>
      <w:r w:rsidRPr="00EB1B7D">
        <w:rPr>
          <w:rFonts w:ascii="Helvetica" w:hAnsi="Helvetica"/>
        </w:rPr>
        <w:t>Para mejor ilustrar, el estado de aprobación en el Pleno de l</w:t>
      </w:r>
      <w:r w:rsidR="00554378" w:rsidRPr="00EB1B7D">
        <w:rPr>
          <w:rFonts w:ascii="Helvetica" w:hAnsi="Helvetica"/>
        </w:rPr>
        <w:t xml:space="preserve">os dictámenes de iniciativas </w:t>
      </w:r>
      <w:r w:rsidRPr="00EB1B7D">
        <w:rPr>
          <w:rFonts w:ascii="Helvetica" w:hAnsi="Helvetica"/>
        </w:rPr>
        <w:t>remitidos por la Comisión se presenta en el siguiente gráfico:</w:t>
      </w:r>
    </w:p>
    <w:p w:rsidR="0039517D" w:rsidRPr="00EB1B7D" w:rsidRDefault="0039517D" w:rsidP="001A7CA1">
      <w:pPr>
        <w:jc w:val="both"/>
        <w:rPr>
          <w:rFonts w:ascii="Helvetica" w:hAnsi="Helvetica"/>
        </w:rPr>
      </w:pPr>
    </w:p>
    <w:p w:rsidR="0039517D" w:rsidRPr="00EB1B7D" w:rsidRDefault="0039517D" w:rsidP="0039517D">
      <w:pPr>
        <w:jc w:val="center"/>
        <w:rPr>
          <w:rFonts w:ascii="Helvetica" w:hAnsi="Helvetica"/>
        </w:rPr>
      </w:pPr>
      <w:r w:rsidRPr="00EB1B7D">
        <w:rPr>
          <w:rFonts w:ascii="Helvetica" w:hAnsi="Helvetica"/>
          <w:noProof/>
        </w:rPr>
        <w:drawing>
          <wp:inline distT="0" distB="0" distL="0" distR="0">
            <wp:extent cx="4923155" cy="1767254"/>
            <wp:effectExtent l="0" t="0" r="444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4378" w:rsidRPr="00EB1B7D" w:rsidRDefault="00554378" w:rsidP="00554378">
      <w:pPr>
        <w:jc w:val="both"/>
        <w:rPr>
          <w:rFonts w:ascii="Helvetica" w:hAnsi="Helvetica"/>
        </w:rPr>
      </w:pPr>
      <w:r w:rsidRPr="00EB1B7D">
        <w:rPr>
          <w:rFonts w:ascii="Helvetica" w:hAnsi="Helvetica"/>
        </w:rPr>
        <w:t>En cuanto a las Minutas dictaminadas, las 4 se atendieron en sentido positivo y, de las cuales:</w:t>
      </w:r>
    </w:p>
    <w:p w:rsidR="00554378" w:rsidRPr="00EB1B7D" w:rsidRDefault="00554378" w:rsidP="00554378">
      <w:pPr>
        <w:jc w:val="both"/>
        <w:rPr>
          <w:rFonts w:ascii="Helvetica" w:hAnsi="Helvetica"/>
        </w:rPr>
      </w:pPr>
    </w:p>
    <w:p w:rsidR="00554378" w:rsidRPr="00EB1B7D" w:rsidRDefault="00554378" w:rsidP="00554378">
      <w:pPr>
        <w:pStyle w:val="Prrafodelista"/>
        <w:numPr>
          <w:ilvl w:val="0"/>
          <w:numId w:val="6"/>
        </w:numPr>
        <w:jc w:val="both"/>
        <w:rPr>
          <w:rFonts w:ascii="Helvetica" w:hAnsi="Helvetica"/>
        </w:rPr>
      </w:pPr>
      <w:r w:rsidRPr="00EB1B7D">
        <w:rPr>
          <w:rFonts w:ascii="Helvetica" w:hAnsi="Helvetica"/>
        </w:rPr>
        <w:lastRenderedPageBreak/>
        <w:t>3 Minutas han sido aprobadas en el Pleno, y</w:t>
      </w:r>
    </w:p>
    <w:p w:rsidR="00554378" w:rsidRPr="00EB1B7D" w:rsidRDefault="00554378" w:rsidP="00554378">
      <w:pPr>
        <w:pStyle w:val="Prrafodelista"/>
        <w:numPr>
          <w:ilvl w:val="0"/>
          <w:numId w:val="6"/>
        </w:numPr>
        <w:jc w:val="both"/>
        <w:rPr>
          <w:rFonts w:ascii="Helvetica" w:hAnsi="Helvetica"/>
        </w:rPr>
      </w:pPr>
      <w:r w:rsidRPr="00EB1B7D">
        <w:rPr>
          <w:rFonts w:ascii="Helvetica" w:hAnsi="Helvetica"/>
        </w:rPr>
        <w:t>1 Minuta está pendiente de aprobación.</w:t>
      </w:r>
    </w:p>
    <w:p w:rsidR="00554378" w:rsidRPr="00EB1B7D" w:rsidRDefault="00554378" w:rsidP="00554378">
      <w:pPr>
        <w:jc w:val="both"/>
        <w:rPr>
          <w:rFonts w:ascii="Helvetica" w:hAnsi="Helvetica"/>
        </w:rPr>
      </w:pPr>
    </w:p>
    <w:p w:rsidR="00554378" w:rsidRPr="00EB1B7D" w:rsidRDefault="00554378" w:rsidP="00554378">
      <w:pPr>
        <w:jc w:val="both"/>
        <w:rPr>
          <w:rFonts w:ascii="Helvetica" w:hAnsi="Helvetica"/>
        </w:rPr>
      </w:pPr>
      <w:r w:rsidRPr="00EB1B7D">
        <w:rPr>
          <w:rFonts w:ascii="Helvetica" w:hAnsi="Helvetica"/>
        </w:rPr>
        <w:t>Para mejor ilustrar, el estado de aprobación de las Minutas se presenta en el siguiente gráfico:</w:t>
      </w:r>
    </w:p>
    <w:p w:rsidR="00554378" w:rsidRPr="00EB1B7D" w:rsidRDefault="00554378" w:rsidP="00554378">
      <w:pPr>
        <w:jc w:val="both"/>
        <w:rPr>
          <w:rFonts w:ascii="Helvetica" w:hAnsi="Helvetica"/>
        </w:rPr>
      </w:pPr>
    </w:p>
    <w:p w:rsidR="00554378" w:rsidRPr="00EB1B7D" w:rsidRDefault="00554378" w:rsidP="00554378">
      <w:pPr>
        <w:jc w:val="center"/>
        <w:rPr>
          <w:rFonts w:ascii="Helvetica" w:hAnsi="Helvetica"/>
        </w:rPr>
      </w:pPr>
      <w:r w:rsidRPr="00EB1B7D">
        <w:rPr>
          <w:rFonts w:ascii="Helvetica" w:hAnsi="Helvetica"/>
          <w:noProof/>
        </w:rPr>
        <w:drawing>
          <wp:inline distT="0" distB="0" distL="0" distR="0" wp14:anchorId="62F0CB4C" wp14:editId="4AB418FF">
            <wp:extent cx="4914900" cy="2708031"/>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0B32" w:rsidRPr="00EB1B7D" w:rsidRDefault="00900B32" w:rsidP="00900B32">
      <w:pPr>
        <w:jc w:val="both"/>
        <w:rPr>
          <w:rFonts w:ascii="Helvetica" w:hAnsi="Helvetica"/>
        </w:rPr>
      </w:pPr>
    </w:p>
    <w:p w:rsidR="00900B32" w:rsidRPr="00EB1B7D" w:rsidRDefault="00900B32" w:rsidP="00900B32">
      <w:pPr>
        <w:jc w:val="both"/>
        <w:rPr>
          <w:rFonts w:ascii="Helvetica" w:hAnsi="Helvetica"/>
        </w:rPr>
      </w:pPr>
      <w:r w:rsidRPr="00EB1B7D">
        <w:rPr>
          <w:rFonts w:ascii="Helvetica" w:hAnsi="Helvetica"/>
        </w:rPr>
        <w:t>Finalmente, se hace del conocimiento de los C.C. Integrantes de la Comisión de Justicia, que las 12 Proposiciones con Punto de Acuerdo y las 2 Opiniones emitidas se han dictaminado en sentido positivo.</w:t>
      </w:r>
    </w:p>
    <w:p w:rsidR="00900B32" w:rsidRPr="00EB1B7D" w:rsidRDefault="00900B32" w:rsidP="00900B32">
      <w:pPr>
        <w:jc w:val="both"/>
        <w:rPr>
          <w:rFonts w:ascii="Helvetica" w:hAnsi="Helvetica"/>
        </w:rPr>
      </w:pPr>
    </w:p>
    <w:p w:rsidR="00900B32" w:rsidRPr="00EB1B7D" w:rsidRDefault="00900B32" w:rsidP="00900B32">
      <w:pPr>
        <w:jc w:val="center"/>
        <w:rPr>
          <w:rFonts w:ascii="Helvetica" w:hAnsi="Helvetica"/>
        </w:rPr>
      </w:pPr>
      <w:r w:rsidRPr="00EB1B7D">
        <w:rPr>
          <w:rFonts w:ascii="Helvetica" w:hAnsi="Helvetica"/>
        </w:rPr>
        <w:t>Dado en el Palacio Legislativo de San Lázaro, a los 27 días del mes de junio de 2019.</w:t>
      </w:r>
    </w:p>
    <w:p w:rsidR="00900B32" w:rsidRPr="00EB1B7D" w:rsidRDefault="00900B32" w:rsidP="00900B32">
      <w:pPr>
        <w:jc w:val="center"/>
        <w:rPr>
          <w:rFonts w:ascii="Helvetica" w:hAnsi="Helvetica"/>
        </w:rPr>
      </w:pPr>
    </w:p>
    <w:p w:rsidR="00900B32" w:rsidRPr="00EB1B7D" w:rsidRDefault="00900B32" w:rsidP="00900B32">
      <w:pPr>
        <w:jc w:val="center"/>
        <w:rPr>
          <w:rFonts w:ascii="Helvetica" w:hAnsi="Helvetica"/>
        </w:rPr>
      </w:pPr>
    </w:p>
    <w:p w:rsidR="00900B32" w:rsidRPr="00EB1B7D" w:rsidRDefault="00900B32" w:rsidP="00900B32">
      <w:pPr>
        <w:jc w:val="center"/>
        <w:rPr>
          <w:rFonts w:ascii="Helvetica" w:hAnsi="Helvetica"/>
        </w:rPr>
      </w:pPr>
    </w:p>
    <w:p w:rsidR="00900B32" w:rsidRPr="00EB1B7D" w:rsidRDefault="00900B32" w:rsidP="00900B32">
      <w:pPr>
        <w:jc w:val="center"/>
        <w:rPr>
          <w:rFonts w:ascii="Helvetica" w:hAnsi="Helvetica"/>
        </w:rPr>
      </w:pPr>
    </w:p>
    <w:p w:rsidR="00900B32" w:rsidRPr="00EB1B7D" w:rsidRDefault="00900B32" w:rsidP="00900B32">
      <w:pPr>
        <w:jc w:val="center"/>
        <w:rPr>
          <w:rFonts w:ascii="Helvetica" w:hAnsi="Helvetica"/>
        </w:rPr>
      </w:pPr>
    </w:p>
    <w:p w:rsidR="00900B32" w:rsidRPr="00EB1B7D" w:rsidRDefault="00900B32" w:rsidP="00900B32">
      <w:pPr>
        <w:jc w:val="center"/>
        <w:rPr>
          <w:rFonts w:ascii="Helvetica" w:hAnsi="Helvetica"/>
        </w:rPr>
      </w:pPr>
    </w:p>
    <w:p w:rsidR="00900B32" w:rsidRPr="00EB1B7D" w:rsidRDefault="00900B32" w:rsidP="00900B32">
      <w:pPr>
        <w:jc w:val="center"/>
        <w:rPr>
          <w:rFonts w:ascii="Helvetica" w:hAnsi="Helvetica"/>
        </w:rPr>
      </w:pPr>
    </w:p>
    <w:p w:rsidR="00900B32" w:rsidRDefault="00900B32" w:rsidP="00900B32">
      <w:pPr>
        <w:jc w:val="center"/>
        <w:rPr>
          <w:rFonts w:ascii="Helvetica" w:hAnsi="Helvetica"/>
        </w:rPr>
      </w:pPr>
    </w:p>
    <w:p w:rsidR="001E071B" w:rsidRDefault="001E071B" w:rsidP="00900B32">
      <w:pPr>
        <w:jc w:val="center"/>
        <w:rPr>
          <w:rFonts w:ascii="Helvetica" w:hAnsi="Helvetica"/>
        </w:rPr>
      </w:pPr>
    </w:p>
    <w:p w:rsidR="001E071B" w:rsidRPr="00EB1B7D" w:rsidRDefault="001E071B" w:rsidP="00900B32">
      <w:pPr>
        <w:jc w:val="center"/>
        <w:rPr>
          <w:rFonts w:ascii="Helvetica" w:hAnsi="Helvetica"/>
        </w:rPr>
      </w:pPr>
    </w:p>
    <w:p w:rsidR="00900B32" w:rsidRDefault="00900B32" w:rsidP="00900B32">
      <w:pPr>
        <w:jc w:val="center"/>
        <w:rPr>
          <w:rFonts w:ascii="Helvetica" w:hAnsi="Helvetica"/>
        </w:rPr>
      </w:pPr>
    </w:p>
    <w:p w:rsidR="00B075DF" w:rsidRPr="00EB1B7D" w:rsidRDefault="00B075DF" w:rsidP="00900B32">
      <w:pPr>
        <w:jc w:val="center"/>
        <w:rPr>
          <w:rFonts w:ascii="Helvetica" w:hAnsi="Helvetica"/>
        </w:rPr>
      </w:pPr>
      <w:bookmarkStart w:id="0" w:name="_GoBack"/>
      <w:bookmarkEnd w:id="0"/>
    </w:p>
    <w:p w:rsidR="00900B32" w:rsidRPr="00EB1B7D" w:rsidRDefault="00900B32" w:rsidP="00900B32">
      <w:pPr>
        <w:jc w:val="center"/>
        <w:rPr>
          <w:rFonts w:ascii="Helvetica" w:hAnsi="Helvetica"/>
          <w:b/>
          <w:bCs/>
        </w:rPr>
      </w:pPr>
      <w:r w:rsidRPr="00EB1B7D">
        <w:rPr>
          <w:rFonts w:ascii="Helvetica" w:hAnsi="Helvetica"/>
          <w:b/>
          <w:bCs/>
        </w:rPr>
        <w:lastRenderedPageBreak/>
        <w:t>ANEXO. LISTA DE ASUNTOS ATENDIDOS</w:t>
      </w:r>
    </w:p>
    <w:p w:rsidR="00900B32" w:rsidRPr="00EB1B7D" w:rsidRDefault="00900B32" w:rsidP="00900B32">
      <w:pPr>
        <w:jc w:val="center"/>
        <w:rPr>
          <w:rFonts w:ascii="Helvetica" w:hAnsi="Helvetica"/>
          <w:b/>
          <w:bCs/>
        </w:rPr>
      </w:pPr>
    </w:p>
    <w:p w:rsidR="00900B32" w:rsidRPr="00EB1B7D" w:rsidRDefault="00900B32" w:rsidP="00900B32">
      <w:pPr>
        <w:pStyle w:val="Prrafodelista"/>
        <w:numPr>
          <w:ilvl w:val="0"/>
          <w:numId w:val="14"/>
        </w:numPr>
        <w:ind w:left="567" w:hanging="567"/>
        <w:rPr>
          <w:rFonts w:ascii="Helvetica" w:hAnsi="Helvetica" w:cs="Arial"/>
          <w:b/>
          <w:lang w:val="es-ES"/>
        </w:rPr>
      </w:pPr>
      <w:r w:rsidRPr="00EB1B7D">
        <w:rPr>
          <w:rFonts w:ascii="Helvetica" w:hAnsi="Helvetica" w:cs="Arial"/>
          <w:b/>
          <w:lang w:val="es-ES"/>
        </w:rPr>
        <w:t>Dictámenes en sentido positivo aprobados en el Pleno:</w:t>
      </w:r>
    </w:p>
    <w:p w:rsidR="00900B32" w:rsidRPr="00EB1B7D" w:rsidRDefault="00900B32" w:rsidP="00900B32">
      <w:pPr>
        <w:ind w:left="567"/>
        <w:rPr>
          <w:rFonts w:ascii="Helvetica" w:hAnsi="Helvetica" w:cs="Arial"/>
          <w:bCs/>
          <w:lang w:val="es-ES"/>
        </w:rPr>
      </w:pPr>
    </w:p>
    <w:p w:rsidR="00900B32" w:rsidRPr="00EB1B7D" w:rsidRDefault="00900B32" w:rsidP="00900B32">
      <w:pPr>
        <w:ind w:left="567"/>
        <w:rPr>
          <w:rFonts w:ascii="Helvetica" w:hAnsi="Helvetica" w:cs="Arial"/>
          <w:b/>
          <w:lang w:val="es-ES"/>
        </w:rPr>
      </w:pPr>
      <w:r w:rsidRPr="00EB1B7D">
        <w:rPr>
          <w:rFonts w:ascii="Helvetica" w:hAnsi="Helvetica" w:cs="Arial"/>
          <w:b/>
          <w:lang w:val="es-ES"/>
        </w:rPr>
        <w:t>Minutas</w:t>
      </w:r>
    </w:p>
    <w:p w:rsidR="00900B32" w:rsidRPr="00EB1B7D" w:rsidRDefault="00900B32" w:rsidP="00900B32">
      <w:pPr>
        <w:ind w:left="567"/>
        <w:jc w:val="both"/>
        <w:rPr>
          <w:rFonts w:ascii="Helvetica" w:hAnsi="Helvetica" w:cs="Arial"/>
          <w:bCs/>
          <w:lang w:val="es-ES"/>
        </w:rPr>
      </w:pPr>
    </w:p>
    <w:p w:rsidR="00900B32" w:rsidRPr="00EB1B7D" w:rsidRDefault="00900B32" w:rsidP="00900B32">
      <w:pPr>
        <w:pStyle w:val="Prrafodelista"/>
        <w:numPr>
          <w:ilvl w:val="0"/>
          <w:numId w:val="7"/>
        </w:numPr>
        <w:ind w:left="993" w:hanging="425"/>
        <w:jc w:val="both"/>
        <w:rPr>
          <w:rFonts w:ascii="Helvetica" w:hAnsi="Helvetica" w:cs="Arial"/>
        </w:rPr>
      </w:pPr>
      <w:r w:rsidRPr="00EB1B7D">
        <w:rPr>
          <w:rFonts w:ascii="Helvetica" w:hAnsi="Helvetica" w:cs="Arial"/>
        </w:rPr>
        <w:t>Minuta con Proyecto de Decreto que crea la Ley Orgánica de la Fiscalía General de la República.</w:t>
      </w:r>
    </w:p>
    <w:p w:rsidR="00900B32" w:rsidRPr="00EB1B7D" w:rsidRDefault="00900B32" w:rsidP="00900B32">
      <w:pPr>
        <w:pStyle w:val="Prrafodelista"/>
        <w:numPr>
          <w:ilvl w:val="0"/>
          <w:numId w:val="7"/>
        </w:numPr>
        <w:ind w:left="993" w:hanging="425"/>
        <w:jc w:val="both"/>
        <w:rPr>
          <w:rFonts w:ascii="Helvetica" w:hAnsi="Helvetica" w:cs="Arial"/>
        </w:rPr>
      </w:pPr>
      <w:r w:rsidRPr="00EB1B7D">
        <w:rPr>
          <w:rFonts w:ascii="Helvetica" w:hAnsi="Helvetica" w:cs="Arial"/>
        </w:rPr>
        <w:t>Minuta con Proyecto de Decreto que reforma y deroga diversas disposiciones del Código Civil Federal (en materia de prohibición del matrimonio infantil).</w:t>
      </w:r>
    </w:p>
    <w:p w:rsidR="00EB1B7D" w:rsidRPr="001E071B" w:rsidRDefault="00900B32" w:rsidP="001E071B">
      <w:pPr>
        <w:pStyle w:val="Prrafodelista"/>
        <w:numPr>
          <w:ilvl w:val="0"/>
          <w:numId w:val="7"/>
        </w:numPr>
        <w:ind w:left="993" w:hanging="425"/>
        <w:jc w:val="both"/>
        <w:rPr>
          <w:rFonts w:ascii="Helvetica" w:hAnsi="Helvetica" w:cs="Arial"/>
        </w:rPr>
      </w:pPr>
      <w:r w:rsidRPr="00EB1B7D">
        <w:rPr>
          <w:rFonts w:ascii="Helvetica" w:hAnsi="Helvetica" w:cs="Arial"/>
        </w:rPr>
        <w:t>Minuta con Proyecto de Decreto que expide la Ley Nacional del Registro de Detenciones.</w:t>
      </w:r>
    </w:p>
    <w:p w:rsidR="00900B32" w:rsidRPr="00EB1B7D" w:rsidRDefault="00900B32" w:rsidP="00900B32">
      <w:pPr>
        <w:pStyle w:val="Prrafodelista"/>
        <w:ind w:left="567"/>
        <w:rPr>
          <w:rFonts w:ascii="Helvetica" w:hAnsi="Helvetica" w:cs="Arial"/>
        </w:rPr>
      </w:pPr>
    </w:p>
    <w:p w:rsidR="00900B32" w:rsidRPr="00EB1B7D" w:rsidRDefault="00900B32" w:rsidP="00900B32">
      <w:pPr>
        <w:pStyle w:val="Prrafodelista"/>
        <w:ind w:left="567"/>
        <w:rPr>
          <w:rFonts w:ascii="Helvetica" w:hAnsi="Helvetica" w:cs="Arial"/>
          <w:b/>
          <w:bCs/>
        </w:rPr>
      </w:pPr>
      <w:r w:rsidRPr="00EB1B7D">
        <w:rPr>
          <w:rFonts w:ascii="Helvetica" w:hAnsi="Helvetica" w:cs="Arial"/>
          <w:b/>
          <w:bCs/>
        </w:rPr>
        <w:t>Iniciativas</w:t>
      </w:r>
    </w:p>
    <w:p w:rsidR="00900B32" w:rsidRPr="00EB1B7D" w:rsidRDefault="00900B32" w:rsidP="00900B32">
      <w:pPr>
        <w:ind w:left="567"/>
        <w:jc w:val="both"/>
        <w:rPr>
          <w:rFonts w:ascii="Helvetica" w:hAnsi="Helvetica" w:cs="Arial"/>
        </w:rPr>
      </w:pP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los artículos 390 del Código Penal Federal y 167 del Código Nacional de Procedimientos Penales.</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diversas disposiciones de la Ley General de los Derechos de Niñas, Niños y Adolescentes, de la Ley Orgánica del Poder Judicial de la Federación, del Código Penal Federal y de la Ley para Regular las Sociedades de Información Crediticia (en materia de pensiones alimenticias).</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el artículo 211 Bis 1 del Código Penal Federal.</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el artículo 102 de la Ley Nacional del Sistema Integral de Justicia Penal para Adolescentes.</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diversas disposiciones de la Ley de Instituciones de Crédito y del Código Civil Federal.</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los artículos 187 y 192 del Código Nacional de Procedimientos Penales.</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diversas disposiciones de la Ley Federal para Prevenir y Sancionar los Delitos Cometidos en Materia de Hidrocarburos.</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adiciona y deroga diversas disposiciones de la Ley Federal de Remuneraciones de los Servidores Públicos, Reglamentaria de los artículos 75 y 127 de la Constitución Política de los Estados Unidos Mexicanos, de la Ley General de Responsabilidades Administrativas, y del Código Penal Federal.</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lastRenderedPageBreak/>
        <w:t>Proyecto de Decreto que adiciona diversas disposiciones del Código Penal Federal.</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diversas disposiciones de la Ley Federal de Remuneraciones de los Servidores Públicos, Reglamentaria de los artículos 75 y 127 de la Constitución Política de los Estados Unidos Mexicanos y del Código Penal Federal.</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el artículo 203 del Código Penal Federal.</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los artículos 62 y 63 del Código Civil Federal.</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adiciona un artículo 35 Bis a la Ley Nacional de Ejecución Penal (en materia de derechos humanos de las personas adultas mayores en los centros penitenciarios).</w:t>
      </w:r>
    </w:p>
    <w:p w:rsidR="00900B32" w:rsidRPr="00EB1B7D" w:rsidRDefault="00900B32" w:rsidP="00900B32">
      <w:pPr>
        <w:pStyle w:val="Prrafodelista"/>
        <w:numPr>
          <w:ilvl w:val="0"/>
          <w:numId w:val="17"/>
        </w:numPr>
        <w:ind w:left="993"/>
        <w:jc w:val="both"/>
        <w:rPr>
          <w:rFonts w:ascii="Helvetica" w:hAnsi="Helvetica" w:cs="Arial"/>
        </w:rPr>
      </w:pPr>
      <w:r w:rsidRPr="00EB1B7D">
        <w:rPr>
          <w:rFonts w:ascii="Helvetica" w:hAnsi="Helvetica" w:cs="Arial"/>
        </w:rPr>
        <w:t>Proyecto de Decreto que reforma y adiciona diversas disposiciones del Código Penal Federal.</w:t>
      </w:r>
    </w:p>
    <w:p w:rsidR="00900B32" w:rsidRPr="00EB1B7D" w:rsidRDefault="00900B32" w:rsidP="00900B32">
      <w:pPr>
        <w:ind w:left="709"/>
        <w:rPr>
          <w:rFonts w:ascii="Helvetica" w:hAnsi="Helvetica" w:cs="Arial"/>
        </w:rPr>
      </w:pPr>
    </w:p>
    <w:p w:rsidR="00900B32" w:rsidRPr="00EB1B7D" w:rsidRDefault="00900B32" w:rsidP="00900B32">
      <w:pPr>
        <w:pStyle w:val="Prrafodelista"/>
        <w:numPr>
          <w:ilvl w:val="0"/>
          <w:numId w:val="13"/>
        </w:numPr>
        <w:ind w:left="567" w:hanging="567"/>
        <w:rPr>
          <w:rFonts w:ascii="Helvetica" w:hAnsi="Helvetica" w:cs="Arial"/>
          <w:b/>
        </w:rPr>
      </w:pPr>
      <w:r w:rsidRPr="00EB1B7D">
        <w:rPr>
          <w:rFonts w:ascii="Helvetica" w:hAnsi="Helvetica" w:cs="Arial"/>
          <w:b/>
        </w:rPr>
        <w:t>Dictámenes en sentido negativo aprobados por el Pleno.</w:t>
      </w:r>
    </w:p>
    <w:p w:rsidR="00900B32" w:rsidRPr="00EB1B7D" w:rsidRDefault="00900B32" w:rsidP="00900B32">
      <w:pPr>
        <w:rPr>
          <w:rFonts w:ascii="Helvetica" w:hAnsi="Helvetica" w:cs="Arial"/>
          <w:bCs/>
        </w:rPr>
      </w:pPr>
    </w:p>
    <w:p w:rsidR="00900B32" w:rsidRPr="00EB1B7D" w:rsidRDefault="00900B32" w:rsidP="00900B32">
      <w:pPr>
        <w:pStyle w:val="Prrafodelista"/>
        <w:numPr>
          <w:ilvl w:val="0"/>
          <w:numId w:val="8"/>
        </w:numPr>
        <w:ind w:left="993"/>
        <w:jc w:val="both"/>
        <w:rPr>
          <w:rFonts w:ascii="Helvetica" w:hAnsi="Helvetica" w:cs="Arial"/>
        </w:rPr>
      </w:pPr>
      <w:r w:rsidRPr="00EB1B7D">
        <w:rPr>
          <w:rFonts w:ascii="Helvetica" w:hAnsi="Helvetica" w:cs="Arial"/>
        </w:rPr>
        <w:t>Proyecto de Decreto que reforma y adiciona diversas disposiciones del Código Penal Federal y de la Ley Federal de Armas de Fuego y Explosivos</w:t>
      </w:r>
    </w:p>
    <w:p w:rsidR="00900B32" w:rsidRPr="00EB1B7D" w:rsidRDefault="00900B32" w:rsidP="00900B32">
      <w:pPr>
        <w:rPr>
          <w:rFonts w:ascii="Helvetica" w:hAnsi="Helvetica" w:cs="Arial"/>
        </w:rPr>
      </w:pPr>
    </w:p>
    <w:p w:rsidR="00900B32" w:rsidRDefault="00900B32" w:rsidP="00900B32">
      <w:pPr>
        <w:pStyle w:val="Prrafodelista"/>
        <w:numPr>
          <w:ilvl w:val="0"/>
          <w:numId w:val="12"/>
        </w:numPr>
        <w:ind w:left="567" w:hanging="567"/>
        <w:rPr>
          <w:rFonts w:ascii="Helvetica" w:hAnsi="Helvetica" w:cs="Arial"/>
          <w:b/>
        </w:rPr>
      </w:pPr>
      <w:r w:rsidRPr="00EB1B7D">
        <w:rPr>
          <w:rFonts w:ascii="Helvetica" w:hAnsi="Helvetica" w:cs="Arial"/>
          <w:b/>
        </w:rPr>
        <w:t>Dictámenes en sentido positivo pendientes de aprobar en el Pleno.</w:t>
      </w:r>
    </w:p>
    <w:p w:rsidR="001E071B" w:rsidRDefault="001E071B" w:rsidP="001E071B">
      <w:pPr>
        <w:pStyle w:val="Prrafodelista"/>
        <w:ind w:left="567"/>
        <w:rPr>
          <w:rFonts w:ascii="Helvetica" w:hAnsi="Helvetica" w:cs="Arial"/>
          <w:b/>
        </w:rPr>
      </w:pPr>
    </w:p>
    <w:p w:rsidR="001E071B" w:rsidRDefault="001E071B" w:rsidP="001E071B">
      <w:pPr>
        <w:pStyle w:val="Prrafodelista"/>
        <w:ind w:left="567"/>
        <w:rPr>
          <w:rFonts w:ascii="Helvetica" w:hAnsi="Helvetica" w:cs="Arial"/>
          <w:b/>
        </w:rPr>
      </w:pPr>
      <w:r>
        <w:rPr>
          <w:rFonts w:ascii="Helvetica" w:hAnsi="Helvetica" w:cs="Arial"/>
          <w:b/>
        </w:rPr>
        <w:t>Minutas</w:t>
      </w:r>
    </w:p>
    <w:p w:rsidR="001E071B" w:rsidRDefault="001E071B" w:rsidP="001E071B">
      <w:pPr>
        <w:pStyle w:val="Prrafodelista"/>
        <w:ind w:left="567"/>
        <w:rPr>
          <w:rFonts w:ascii="Helvetica" w:hAnsi="Helvetica" w:cs="Arial"/>
          <w:b/>
        </w:rPr>
      </w:pPr>
    </w:p>
    <w:p w:rsidR="001E071B" w:rsidRPr="001E071B" w:rsidRDefault="001E071B" w:rsidP="001E071B">
      <w:pPr>
        <w:pStyle w:val="Prrafodelista"/>
        <w:numPr>
          <w:ilvl w:val="0"/>
          <w:numId w:val="9"/>
        </w:numPr>
        <w:ind w:left="993"/>
        <w:rPr>
          <w:rFonts w:ascii="Helvetica" w:hAnsi="Helvetica" w:cs="Arial"/>
          <w:b/>
        </w:rPr>
      </w:pPr>
      <w:r>
        <w:rPr>
          <w:rFonts w:ascii="Helvetica" w:hAnsi="Helvetica" w:cs="Arial"/>
        </w:rPr>
        <w:t>Minuta con Proyecto de Decreto por el que se reforman y adicionan diversas disposiciones del Código Civil Federal y de la Ley General de los Derechos de Niñas, Niños y Adolescentes, en materia de maltrato infantil.</w:t>
      </w:r>
    </w:p>
    <w:p w:rsidR="001E071B" w:rsidRPr="001E071B" w:rsidRDefault="001E071B" w:rsidP="001E071B">
      <w:pPr>
        <w:pStyle w:val="Prrafodelista"/>
        <w:ind w:left="993"/>
        <w:rPr>
          <w:rFonts w:ascii="Helvetica" w:hAnsi="Helvetica" w:cs="Arial"/>
          <w:b/>
        </w:rPr>
      </w:pPr>
    </w:p>
    <w:p w:rsidR="00900B32" w:rsidRDefault="001E071B" w:rsidP="001E071B">
      <w:pPr>
        <w:ind w:left="567"/>
        <w:rPr>
          <w:rFonts w:ascii="Helvetica" w:hAnsi="Helvetica" w:cs="Arial"/>
          <w:b/>
        </w:rPr>
      </w:pPr>
      <w:r>
        <w:rPr>
          <w:rFonts w:ascii="Helvetica" w:hAnsi="Helvetica" w:cs="Arial"/>
          <w:b/>
        </w:rPr>
        <w:t>Iniciativas</w:t>
      </w:r>
    </w:p>
    <w:p w:rsidR="001E071B" w:rsidRPr="00EB1B7D" w:rsidRDefault="001E071B" w:rsidP="001E071B">
      <w:pPr>
        <w:ind w:left="567"/>
        <w:rPr>
          <w:rFonts w:ascii="Helvetica" w:hAnsi="Helvetica" w:cs="Arial"/>
          <w:bCs/>
        </w:rPr>
      </w:pP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deroga el artículo 158 del Código Civil Federal.</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reforma y deroga diversas disposiciones del Código Civil Federal.</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reforma el artículo 58 del Código Civil Federal.</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reforma los artículos 9o., 91, 92 y 93 de la Ley Nacional de Ejecución Penal.</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lastRenderedPageBreak/>
        <w:t>Proyecto de Decreto que reforma y adiciona diversas disposiciones del Código Penal Federal y de la Ley General en Materia de Delitos Electorales.</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reforma y deroga diversas disposiciones del Código Civil Federal y reforma el artículo 45 de la Ley General de los Derechos de Niñas, Niños y Adolescentes (en materia de matrimonio infantil).</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adiciona el artículo 94 de la Ley General en Materia de Desaparición Forzada de Personas, Desaparición Cometida por Particulares y del Sistema Nacional de Búsqueda de Personas.</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reforma diversas disposiciones del Código Penal Federal y del Código Nacional de Procedimientos Penales.</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reforma el artículo 418 del Código Penal Federal.</w:t>
      </w:r>
    </w:p>
    <w:p w:rsidR="00900B32" w:rsidRPr="00EB1B7D" w:rsidRDefault="00900B32" w:rsidP="00900B32">
      <w:pPr>
        <w:pStyle w:val="Prrafodelista"/>
        <w:numPr>
          <w:ilvl w:val="0"/>
          <w:numId w:val="9"/>
        </w:numPr>
        <w:ind w:left="993"/>
        <w:jc w:val="both"/>
        <w:rPr>
          <w:rFonts w:ascii="Helvetica" w:hAnsi="Helvetica" w:cs="Arial"/>
        </w:rPr>
      </w:pPr>
      <w:r w:rsidRPr="00EB1B7D">
        <w:rPr>
          <w:rFonts w:ascii="Helvetica" w:hAnsi="Helvetica" w:cs="Arial"/>
        </w:rPr>
        <w:t>Proyecto de Decreto que reforma y adiciona el artículo 420 del Código Nacional de Procedimientos Penales.</w:t>
      </w:r>
    </w:p>
    <w:p w:rsidR="00900B32" w:rsidRPr="00EB1B7D" w:rsidRDefault="00900B32" w:rsidP="00900B32">
      <w:pPr>
        <w:pStyle w:val="Prrafodelista"/>
        <w:numPr>
          <w:ilvl w:val="0"/>
          <w:numId w:val="9"/>
        </w:numPr>
        <w:spacing w:after="40" w:line="276" w:lineRule="auto"/>
        <w:ind w:left="993"/>
        <w:jc w:val="both"/>
        <w:rPr>
          <w:rFonts w:ascii="Helvetica" w:hAnsi="Helvetica" w:cs="Arial"/>
        </w:rPr>
      </w:pPr>
      <w:r w:rsidRPr="00EB1B7D">
        <w:rPr>
          <w:rFonts w:ascii="Helvetica" w:hAnsi="Helvetica" w:cs="Arial"/>
        </w:rPr>
        <w:t>Dictamen de la Comisión de Justicia de la Iniciativa con Proyecto de Decreto que reforma y adiciona diversas disposiciones del Código Penal Federal.</w:t>
      </w:r>
    </w:p>
    <w:p w:rsidR="00900B32" w:rsidRPr="00EB1B7D" w:rsidRDefault="00900B32" w:rsidP="00900B32">
      <w:pPr>
        <w:pStyle w:val="Prrafodelista"/>
        <w:numPr>
          <w:ilvl w:val="0"/>
          <w:numId w:val="9"/>
        </w:numPr>
        <w:spacing w:after="40" w:line="276" w:lineRule="auto"/>
        <w:ind w:left="993"/>
        <w:jc w:val="both"/>
        <w:rPr>
          <w:rFonts w:ascii="Helvetica" w:hAnsi="Helvetica" w:cs="Arial"/>
        </w:rPr>
      </w:pPr>
      <w:r w:rsidRPr="00EB1B7D">
        <w:rPr>
          <w:rFonts w:ascii="Helvetica" w:hAnsi="Helvetica" w:cs="Arial"/>
        </w:rPr>
        <w:t>Dictamen de la Comisión de Justicia de la Iniciativa con Proyecto de Decreto que reforma los artículos 35, 55 y 56 del Código Civil Federal.</w:t>
      </w:r>
    </w:p>
    <w:p w:rsidR="00900B32" w:rsidRPr="00EB1B7D" w:rsidRDefault="00900B32" w:rsidP="00900B32">
      <w:pPr>
        <w:pStyle w:val="Prrafodelista"/>
        <w:numPr>
          <w:ilvl w:val="0"/>
          <w:numId w:val="9"/>
        </w:numPr>
        <w:spacing w:after="40" w:line="276" w:lineRule="auto"/>
        <w:ind w:left="993"/>
        <w:jc w:val="both"/>
        <w:rPr>
          <w:rFonts w:ascii="Helvetica" w:hAnsi="Helvetica" w:cs="Arial"/>
        </w:rPr>
      </w:pPr>
      <w:r w:rsidRPr="00EB1B7D">
        <w:rPr>
          <w:rFonts w:ascii="Helvetica" w:hAnsi="Helvetica" w:cs="Arial"/>
        </w:rPr>
        <w:t>Dictamen de la Comisión de Justicia de la Iniciativa con Proyecto de Decreto que reforma y adiciona los artículos 167 del Código Nacional de Procedimientos Penales, y 343 Bis y 343 Ter del Código Penal Federal.</w:t>
      </w:r>
    </w:p>
    <w:p w:rsidR="00900B32" w:rsidRPr="00EB1B7D" w:rsidRDefault="00900B32" w:rsidP="00900B32">
      <w:pPr>
        <w:rPr>
          <w:rFonts w:ascii="Helvetica" w:hAnsi="Helvetica" w:cs="Arial"/>
        </w:rPr>
      </w:pPr>
    </w:p>
    <w:p w:rsidR="00900B32" w:rsidRPr="00EB1B7D" w:rsidRDefault="00900B32" w:rsidP="00900B32">
      <w:pPr>
        <w:pStyle w:val="Prrafodelista"/>
        <w:numPr>
          <w:ilvl w:val="0"/>
          <w:numId w:val="11"/>
        </w:numPr>
        <w:ind w:left="567" w:hanging="567"/>
        <w:rPr>
          <w:rFonts w:ascii="Helvetica" w:hAnsi="Helvetica" w:cs="Arial"/>
          <w:b/>
        </w:rPr>
      </w:pPr>
      <w:r w:rsidRPr="00EB1B7D">
        <w:rPr>
          <w:rFonts w:ascii="Helvetica" w:hAnsi="Helvetica" w:cs="Arial"/>
          <w:b/>
        </w:rPr>
        <w:t>Dictámenes en sentido negativo pendientes de aprobar en el Pleno.</w:t>
      </w:r>
    </w:p>
    <w:p w:rsidR="00900B32" w:rsidRPr="00EB1B7D" w:rsidRDefault="00900B32" w:rsidP="00900B32">
      <w:pPr>
        <w:rPr>
          <w:rFonts w:ascii="Helvetica" w:hAnsi="Helvetica" w:cs="Arial"/>
          <w:bCs/>
        </w:rPr>
      </w:pPr>
    </w:p>
    <w:p w:rsidR="00900B32" w:rsidRPr="00EB1B7D" w:rsidRDefault="00900B32" w:rsidP="00900B32">
      <w:pPr>
        <w:pStyle w:val="Prrafodelista"/>
        <w:numPr>
          <w:ilvl w:val="0"/>
          <w:numId w:val="10"/>
        </w:numPr>
        <w:ind w:left="993"/>
        <w:jc w:val="both"/>
        <w:rPr>
          <w:rFonts w:ascii="Helvetica" w:hAnsi="Helvetica" w:cs="Arial"/>
        </w:rPr>
      </w:pPr>
      <w:r w:rsidRPr="00EB1B7D">
        <w:rPr>
          <w:rFonts w:ascii="Helvetica" w:hAnsi="Helvetica" w:cs="Arial"/>
        </w:rPr>
        <w:t>Proyecto de Decreto que adiciona los artículos 429, 430 y 431 del Código Penal Federal.</w:t>
      </w:r>
    </w:p>
    <w:p w:rsidR="00900B32" w:rsidRPr="00EB1B7D" w:rsidRDefault="00900B32" w:rsidP="00900B32">
      <w:pPr>
        <w:pStyle w:val="Prrafodelista"/>
        <w:numPr>
          <w:ilvl w:val="0"/>
          <w:numId w:val="10"/>
        </w:numPr>
        <w:ind w:left="993"/>
        <w:jc w:val="both"/>
        <w:rPr>
          <w:rFonts w:ascii="Helvetica" w:hAnsi="Helvetica" w:cs="Arial"/>
        </w:rPr>
      </w:pPr>
      <w:r w:rsidRPr="00EB1B7D">
        <w:rPr>
          <w:rFonts w:ascii="Helvetica" w:hAnsi="Helvetica" w:cs="Arial"/>
        </w:rPr>
        <w:t>Proyecto de Decreto que reforma el artículo 215 del Código Penal Federal.</w:t>
      </w:r>
    </w:p>
    <w:p w:rsidR="00900B32" w:rsidRPr="00EB1B7D" w:rsidRDefault="00900B32" w:rsidP="00900B32">
      <w:pPr>
        <w:pStyle w:val="Prrafodelista"/>
        <w:numPr>
          <w:ilvl w:val="0"/>
          <w:numId w:val="10"/>
        </w:numPr>
        <w:ind w:left="993"/>
        <w:jc w:val="both"/>
        <w:rPr>
          <w:rFonts w:ascii="Helvetica" w:hAnsi="Helvetica" w:cs="Arial"/>
        </w:rPr>
      </w:pPr>
      <w:r w:rsidRPr="00EB1B7D">
        <w:rPr>
          <w:rFonts w:ascii="Helvetica" w:hAnsi="Helvetica" w:cs="Arial"/>
        </w:rPr>
        <w:t>Proyecto de Decreto que adiciona el artículo 167 del Código Nacional de Procedimientos Penales.</w:t>
      </w:r>
    </w:p>
    <w:p w:rsidR="00900B32" w:rsidRPr="00EB1B7D" w:rsidRDefault="00900B32" w:rsidP="00900B32">
      <w:pPr>
        <w:pStyle w:val="Prrafodelista"/>
        <w:numPr>
          <w:ilvl w:val="0"/>
          <w:numId w:val="10"/>
        </w:numPr>
        <w:ind w:left="993"/>
        <w:jc w:val="both"/>
        <w:rPr>
          <w:rFonts w:ascii="Helvetica" w:hAnsi="Helvetica" w:cs="Arial"/>
        </w:rPr>
      </w:pPr>
      <w:r w:rsidRPr="00EB1B7D">
        <w:rPr>
          <w:rFonts w:ascii="Helvetica" w:hAnsi="Helvetica" w:cs="Arial"/>
        </w:rPr>
        <w:t>Proyecto de Decreto que reforma los artículos 19 de la Constitución Política de los Estados Unidos Mexicanos y 167 del Código Nacional de Procedimientos Penales.</w:t>
      </w:r>
    </w:p>
    <w:p w:rsidR="00900B32" w:rsidRPr="00EB1B7D" w:rsidRDefault="00900B32" w:rsidP="00900B32">
      <w:pPr>
        <w:pStyle w:val="Prrafodelista"/>
        <w:numPr>
          <w:ilvl w:val="0"/>
          <w:numId w:val="10"/>
        </w:numPr>
        <w:spacing w:after="40" w:line="276" w:lineRule="auto"/>
        <w:ind w:left="993"/>
        <w:jc w:val="both"/>
        <w:rPr>
          <w:rFonts w:ascii="Helvetica" w:hAnsi="Helvetica" w:cs="Arial"/>
        </w:rPr>
      </w:pPr>
      <w:r w:rsidRPr="00EB1B7D">
        <w:rPr>
          <w:rFonts w:ascii="Helvetica" w:hAnsi="Helvetica" w:cs="Arial"/>
        </w:rPr>
        <w:t>Dictamen de la Comisión de Justicia en sentido negativo de la Iniciativa que reforma el artículo 267 de la Ley de Amparo, Reglamentaria de los artículos 103 y 107 de la Constitución Política de los Estados Unidos Mexicanos.</w:t>
      </w:r>
    </w:p>
    <w:p w:rsidR="00900B32" w:rsidRPr="00EB1B7D" w:rsidRDefault="00900B32" w:rsidP="00900B32">
      <w:pPr>
        <w:pStyle w:val="Prrafodelista"/>
        <w:numPr>
          <w:ilvl w:val="0"/>
          <w:numId w:val="10"/>
        </w:numPr>
        <w:spacing w:after="40" w:line="276" w:lineRule="auto"/>
        <w:ind w:left="993"/>
        <w:jc w:val="both"/>
        <w:rPr>
          <w:rFonts w:ascii="Helvetica" w:hAnsi="Helvetica" w:cs="Arial"/>
        </w:rPr>
      </w:pPr>
      <w:r w:rsidRPr="00EB1B7D">
        <w:rPr>
          <w:rFonts w:ascii="Helvetica" w:hAnsi="Helvetica" w:cs="Arial"/>
        </w:rPr>
        <w:lastRenderedPageBreak/>
        <w:t>Dictamen de la Comisión de Justicia en sentido negativo de la Iniciativa que reforma y adiciona los artículos 9 y 20 de la Ley Federal para Prevenir y Sancionar los Delitos Cometidos en Materia de Hidrocarburos.</w:t>
      </w:r>
    </w:p>
    <w:p w:rsidR="00900B32" w:rsidRPr="00EB1B7D" w:rsidRDefault="00900B32" w:rsidP="00900B32">
      <w:pPr>
        <w:pStyle w:val="Prrafodelista"/>
        <w:numPr>
          <w:ilvl w:val="0"/>
          <w:numId w:val="10"/>
        </w:numPr>
        <w:spacing w:after="40" w:line="276" w:lineRule="auto"/>
        <w:ind w:left="993"/>
        <w:jc w:val="both"/>
        <w:rPr>
          <w:rFonts w:ascii="Helvetica" w:hAnsi="Helvetica" w:cs="Arial"/>
        </w:rPr>
      </w:pPr>
      <w:r w:rsidRPr="00EB1B7D">
        <w:rPr>
          <w:rFonts w:ascii="Helvetica" w:hAnsi="Helvetica" w:cs="Arial"/>
        </w:rPr>
        <w:t>Dictamen de la Comisión de Justicia en sentido negativo de la Iniciativa que reforma y deroga diversas disposiciones del Código Civil Federal.</w:t>
      </w:r>
    </w:p>
    <w:p w:rsidR="00900B32" w:rsidRPr="00EB1B7D" w:rsidRDefault="00900B32" w:rsidP="00900B32">
      <w:pPr>
        <w:jc w:val="both"/>
        <w:rPr>
          <w:rFonts w:ascii="Helvetica" w:hAnsi="Helvetica" w:cs="Arial"/>
        </w:rPr>
      </w:pPr>
    </w:p>
    <w:p w:rsidR="00900B32" w:rsidRPr="00EB1B7D" w:rsidRDefault="00900B32" w:rsidP="00900B32">
      <w:pPr>
        <w:pStyle w:val="Prrafodelista"/>
        <w:numPr>
          <w:ilvl w:val="0"/>
          <w:numId w:val="11"/>
        </w:numPr>
        <w:ind w:left="567" w:hanging="567"/>
        <w:jc w:val="both"/>
        <w:rPr>
          <w:rFonts w:ascii="Helvetica" w:hAnsi="Helvetica" w:cs="Arial"/>
        </w:rPr>
      </w:pPr>
      <w:r w:rsidRPr="00EB1B7D">
        <w:rPr>
          <w:rFonts w:ascii="Helvetica" w:hAnsi="Helvetica" w:cs="Arial"/>
          <w:b/>
        </w:rPr>
        <w:t>Proposiciones con Punto de Acuerdo.</w:t>
      </w:r>
    </w:p>
    <w:p w:rsidR="00900B32" w:rsidRPr="00EB1B7D" w:rsidRDefault="00900B32" w:rsidP="00900B32">
      <w:pPr>
        <w:jc w:val="both"/>
        <w:rPr>
          <w:rFonts w:ascii="Helvetica" w:hAnsi="Helvetica" w:cs="Arial"/>
        </w:rPr>
      </w:pP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Comisión de Justicia a la Proposición con Punto de Acuerdo, para exhortar a la Fiscalía General de la República a atraer el caso del Homicidio del Activista Samir Flores Soberanes y realizar las investigaciones correspondientes sobre su muerte.</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Comisión de Justicia de la Proposición con Punto de Acuerdo, para exhortar a los Congresos Locales que no lo han hecho a armonizar su legislación con la Ley Nacional de Ejecución Penal sobre la emisión de la constancia de no antecedentes penales.</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Comisión de Justicia de la Proposición con Punto de Acuerdo, para exhortar a la FGR y tanto a las Fiscalías Generales de los Estados como a las Procuradurías Generales a combatir el rezago en la investigación de los delitos cometidos contra la libertad de expresión, y garantizar la indagación.</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Comisión de Justicia de la Proposición con Punto de Acuerdo por el que se exhorta al Poder Judicial Federal y a la Unidad de Inteligencia Financiera de Hacienda, a resolver los procesos penales de consigna y desbloqueo de cuentas bancarias que se instruyen contra los profesores de la Sección XXII-SNTE-CNTE.</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Comisión de Justicia de la Proposición con Punto de Acuerdo, a fin de exhortar a los Congresos de Zacatecas y Colima a impulsar la creación de órganos adscritos a os respectivos poderes judiciales con independencia técnica y de gestión para emitir resoluciones relacionadas con la designación, adscripción, ratificación y remoción de jueces.</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Comisión de Justicia de la Proposición con Punto de Acuerdo, por el que se exhorta al Congreso del Estado de México, en el ámbito de su competencia, revise y en su caso modifique el párrafo segundo de la fracción III del artículo 8 del Código Penal del Estado de México.</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Comisión de Justicia de la Proposición con Punto de Acuerdo, por el que se condena enérgicamente los asesinatos de los profesores Guadalupe Cruz Vásquez y Héctor Hernández Pérez, ocurridos el 21 de febrero de 2019, y se exhorta a la Fiscalía General de Oaxaca a realizar una investigación exhaustiva y expedita para esclarecerlos.</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lastRenderedPageBreak/>
        <w:t>Dictamen de la Proposición con Punto de Acuerdo, por el que se exhorta a la Fiscalía General del Estado de Oaxaca a agotar las investigaciones que permitan detener y procesar al o a los responsables del homicidio de la fotógrafa María del Sol Cruz Jarquín y a la Procuraduría General de la República para analizar su posible atracción.</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Proposición con Punto de Acuerdo por el que se exhorta al Comisionado Ejecutivo de Atención a Víctimas para que cumpla con las medidas de reparación del daño a las víctimas del equipo avispones; así como informar las medidas específicas que tomen en atención al presente Punto de Acuerdo.</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con Punto de Acuerdo por el que se exhorta al titular de la Fiscalía General del Estado de Puebla a que en el ámbito de su competencia, haga público un informe pormenorizado de los avances en la investigación del secuestro y homicidio de José Andrés Larrañaga Canalizo.</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con Punto de Acuerdo por el que se exhorta al titular de la Fiscalía General del Estado de Veracruz a hacer público un informe sobre los avances y resultados en la investigación sobre el hallazgo y recuperación de cuerpos de las fosas clandestinas en la Ribera de la Laguna de Alvarado.</w:t>
      </w:r>
    </w:p>
    <w:p w:rsidR="00900B32" w:rsidRPr="00EB1B7D" w:rsidRDefault="00900B32" w:rsidP="00900B32">
      <w:pPr>
        <w:pStyle w:val="Prrafodelista"/>
        <w:numPr>
          <w:ilvl w:val="0"/>
          <w:numId w:val="15"/>
        </w:numPr>
        <w:jc w:val="both"/>
        <w:rPr>
          <w:rFonts w:ascii="Helvetica" w:hAnsi="Helvetica" w:cs="Arial"/>
        </w:rPr>
      </w:pPr>
      <w:r w:rsidRPr="00EB1B7D">
        <w:rPr>
          <w:rFonts w:ascii="Helvetica" w:hAnsi="Helvetica" w:cs="Arial"/>
        </w:rPr>
        <w:t>Dictamen de la Proposición con Punto de Acuerdo, por el que se exhorta a la Procuraduría General de la República, a fin de que se investiguen los asesinatos ocurridos en Reynosa Tamaulipas.</w:t>
      </w:r>
    </w:p>
    <w:p w:rsidR="00900B32" w:rsidRPr="00EB1B7D" w:rsidRDefault="00900B32" w:rsidP="00900B32">
      <w:pPr>
        <w:jc w:val="both"/>
        <w:rPr>
          <w:rFonts w:ascii="Helvetica" w:hAnsi="Helvetica" w:cs="Arial"/>
        </w:rPr>
      </w:pPr>
    </w:p>
    <w:p w:rsidR="00900B32" w:rsidRPr="00EB1B7D" w:rsidRDefault="00900B32" w:rsidP="00900B32">
      <w:pPr>
        <w:pStyle w:val="Prrafodelista"/>
        <w:numPr>
          <w:ilvl w:val="0"/>
          <w:numId w:val="11"/>
        </w:numPr>
        <w:spacing w:after="40" w:line="276" w:lineRule="auto"/>
        <w:jc w:val="both"/>
        <w:rPr>
          <w:rFonts w:ascii="Helvetica" w:hAnsi="Helvetica" w:cs="Arial"/>
          <w:b/>
        </w:rPr>
      </w:pPr>
      <w:r w:rsidRPr="00EB1B7D">
        <w:rPr>
          <w:rFonts w:ascii="Helvetica" w:hAnsi="Helvetica" w:cs="Arial"/>
          <w:b/>
        </w:rPr>
        <w:t>Opiniones de los asuntos recibidos en la Comisión.</w:t>
      </w:r>
    </w:p>
    <w:p w:rsidR="00900B32" w:rsidRPr="00EB1B7D" w:rsidRDefault="00900B32" w:rsidP="00900B32">
      <w:pPr>
        <w:spacing w:after="40" w:line="276" w:lineRule="auto"/>
        <w:jc w:val="both"/>
        <w:rPr>
          <w:rFonts w:ascii="Helvetica" w:hAnsi="Helvetica" w:cs="Arial"/>
        </w:rPr>
      </w:pPr>
    </w:p>
    <w:p w:rsidR="00900B32" w:rsidRPr="00EB1B7D" w:rsidRDefault="00900B32" w:rsidP="00900B32">
      <w:pPr>
        <w:pStyle w:val="Prrafodelista"/>
        <w:numPr>
          <w:ilvl w:val="0"/>
          <w:numId w:val="16"/>
        </w:numPr>
        <w:spacing w:after="40" w:line="276" w:lineRule="auto"/>
        <w:ind w:left="709"/>
        <w:jc w:val="both"/>
        <w:rPr>
          <w:rFonts w:ascii="Helvetica" w:hAnsi="Helvetica" w:cs="Arial"/>
        </w:rPr>
      </w:pPr>
      <w:r w:rsidRPr="00EB1B7D">
        <w:rPr>
          <w:rFonts w:ascii="Helvetica" w:hAnsi="Helvetica" w:cs="Arial"/>
        </w:rPr>
        <w:t>Opinión de la Comisión de Justicia del “Plan Nacional de Desarrollo 2019-2024” remitido por el Titular del Poder Ejecutivo Federal.</w:t>
      </w:r>
    </w:p>
    <w:p w:rsidR="00900B32" w:rsidRPr="00EB1B7D" w:rsidRDefault="00900B32" w:rsidP="00900B32">
      <w:pPr>
        <w:pStyle w:val="Prrafodelista"/>
        <w:numPr>
          <w:ilvl w:val="0"/>
          <w:numId w:val="16"/>
        </w:numPr>
        <w:spacing w:after="40" w:line="276" w:lineRule="auto"/>
        <w:ind w:left="709"/>
        <w:jc w:val="both"/>
        <w:rPr>
          <w:rFonts w:ascii="Helvetica" w:hAnsi="Helvetica" w:cs="Arial"/>
        </w:rPr>
      </w:pPr>
      <w:r w:rsidRPr="00EB1B7D">
        <w:rPr>
          <w:rFonts w:ascii="Helvetica" w:hAnsi="Helvetica" w:cs="Arial"/>
        </w:rPr>
        <w:t>Opinión de la Comisión de Justicia del “Informe sobre la situación económica, las finanzas públicas y la deuda pública” correspondiente al Primer Trimestre de 2019, remitido por la Secretaría de Hacienda y Crédito Público.</w:t>
      </w:r>
    </w:p>
    <w:sectPr w:rsidR="00900B32" w:rsidRPr="00EB1B7D" w:rsidSect="004D4AAE">
      <w:headerReference w:type="default" r:id="rId12"/>
      <w:footerReference w:type="default" r:id="rId13"/>
      <w:pgSz w:w="12240" w:h="15840"/>
      <w:pgMar w:top="28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A3E" w:rsidRDefault="007A4A3E" w:rsidP="004D4AAE">
      <w:r>
        <w:separator/>
      </w:r>
    </w:p>
  </w:endnote>
  <w:endnote w:type="continuationSeparator" w:id="0">
    <w:p w:rsidR="007A4A3E" w:rsidRDefault="007A4A3E" w:rsidP="004D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6E9" w:rsidRPr="009056E9" w:rsidRDefault="009056E9" w:rsidP="009056E9">
    <w:pPr>
      <w:pStyle w:val="Piedepgina"/>
      <w:jc w:val="center"/>
      <w:rPr>
        <w:rFonts w:ascii="Arial" w:hAnsi="Arial" w:cs="Arial"/>
        <w:color w:val="000000" w:themeColor="text1"/>
        <w:sz w:val="22"/>
        <w:szCs w:val="22"/>
      </w:rPr>
    </w:pPr>
    <w:r w:rsidRPr="009056E9">
      <w:rPr>
        <w:rFonts w:ascii="Arial" w:hAnsi="Arial" w:cs="Arial"/>
        <w:color w:val="000000" w:themeColor="text1"/>
        <w:sz w:val="22"/>
        <w:szCs w:val="22"/>
      </w:rPr>
      <w:t xml:space="preserve">Página </w:t>
    </w:r>
    <w:r w:rsidRPr="009056E9">
      <w:rPr>
        <w:rFonts w:ascii="Arial" w:hAnsi="Arial" w:cs="Arial"/>
        <w:color w:val="000000" w:themeColor="text1"/>
        <w:sz w:val="22"/>
        <w:szCs w:val="22"/>
      </w:rPr>
      <w:fldChar w:fldCharType="begin"/>
    </w:r>
    <w:r w:rsidRPr="009056E9">
      <w:rPr>
        <w:rFonts w:ascii="Arial" w:hAnsi="Arial" w:cs="Arial"/>
        <w:color w:val="000000" w:themeColor="text1"/>
        <w:sz w:val="22"/>
        <w:szCs w:val="22"/>
      </w:rPr>
      <w:instrText>PAGE  \* Arabic  \* MERGEFORMAT</w:instrText>
    </w:r>
    <w:r w:rsidRPr="009056E9">
      <w:rPr>
        <w:rFonts w:ascii="Arial" w:hAnsi="Arial" w:cs="Arial"/>
        <w:color w:val="000000" w:themeColor="text1"/>
        <w:sz w:val="22"/>
        <w:szCs w:val="22"/>
      </w:rPr>
      <w:fldChar w:fldCharType="separate"/>
    </w:r>
    <w:r w:rsidRPr="009056E9">
      <w:rPr>
        <w:rFonts w:ascii="Arial" w:hAnsi="Arial" w:cs="Arial"/>
        <w:color w:val="000000" w:themeColor="text1"/>
        <w:sz w:val="22"/>
        <w:szCs w:val="22"/>
      </w:rPr>
      <w:t>2</w:t>
    </w:r>
    <w:r w:rsidRPr="009056E9">
      <w:rPr>
        <w:rFonts w:ascii="Arial" w:hAnsi="Arial" w:cs="Arial"/>
        <w:color w:val="000000" w:themeColor="text1"/>
        <w:sz w:val="22"/>
        <w:szCs w:val="22"/>
      </w:rPr>
      <w:fldChar w:fldCharType="end"/>
    </w:r>
    <w:r w:rsidRPr="009056E9">
      <w:rPr>
        <w:rFonts w:ascii="Arial" w:hAnsi="Arial" w:cs="Arial"/>
        <w:color w:val="000000" w:themeColor="text1"/>
        <w:sz w:val="22"/>
        <w:szCs w:val="22"/>
      </w:rPr>
      <w:t xml:space="preserve"> de </w:t>
    </w:r>
    <w:r w:rsidRPr="009056E9">
      <w:rPr>
        <w:rFonts w:ascii="Arial" w:hAnsi="Arial" w:cs="Arial"/>
        <w:color w:val="000000" w:themeColor="text1"/>
        <w:sz w:val="22"/>
        <w:szCs w:val="22"/>
      </w:rPr>
      <w:fldChar w:fldCharType="begin"/>
    </w:r>
    <w:r w:rsidRPr="009056E9">
      <w:rPr>
        <w:rFonts w:ascii="Arial" w:hAnsi="Arial" w:cs="Arial"/>
        <w:color w:val="000000" w:themeColor="text1"/>
        <w:sz w:val="22"/>
        <w:szCs w:val="22"/>
      </w:rPr>
      <w:instrText>NUMPAGES  \* Arabic  \* MERGEFORMAT</w:instrText>
    </w:r>
    <w:r w:rsidRPr="009056E9">
      <w:rPr>
        <w:rFonts w:ascii="Arial" w:hAnsi="Arial" w:cs="Arial"/>
        <w:color w:val="000000" w:themeColor="text1"/>
        <w:sz w:val="22"/>
        <w:szCs w:val="22"/>
      </w:rPr>
      <w:fldChar w:fldCharType="separate"/>
    </w:r>
    <w:r w:rsidRPr="009056E9">
      <w:rPr>
        <w:rFonts w:ascii="Arial" w:hAnsi="Arial" w:cs="Arial"/>
        <w:color w:val="000000" w:themeColor="text1"/>
        <w:sz w:val="22"/>
        <w:szCs w:val="22"/>
      </w:rPr>
      <w:t>2</w:t>
    </w:r>
    <w:r w:rsidRPr="009056E9">
      <w:rPr>
        <w:rFonts w:ascii="Arial" w:hAnsi="Arial" w:cs="Arial"/>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A3E" w:rsidRDefault="007A4A3E" w:rsidP="004D4AAE">
      <w:r>
        <w:separator/>
      </w:r>
    </w:p>
  </w:footnote>
  <w:footnote w:type="continuationSeparator" w:id="0">
    <w:p w:rsidR="007A4A3E" w:rsidRDefault="007A4A3E" w:rsidP="004D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AAE" w:rsidRDefault="004D4AAE" w:rsidP="004D4AAE">
    <w:pPr>
      <w:pStyle w:val="Encabezado"/>
      <w:tabs>
        <w:tab w:val="clear" w:pos="8838"/>
      </w:tabs>
    </w:pPr>
    <w:r>
      <w:rPr>
        <w:noProof/>
      </w:rPr>
      <w:drawing>
        <wp:anchor distT="0" distB="0" distL="114300" distR="114300" simplePos="0" relativeHeight="251661312" behindDoc="1" locked="0" layoutInCell="1" allowOverlap="1" wp14:anchorId="34BEEA3D">
          <wp:simplePos x="0" y="0"/>
          <wp:positionH relativeFrom="column">
            <wp:posOffset>3381798</wp:posOffset>
          </wp:positionH>
          <wp:positionV relativeFrom="paragraph">
            <wp:posOffset>278553</wp:posOffset>
          </wp:positionV>
          <wp:extent cx="2480890" cy="341630"/>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77" t="11695" r="4158" b="26875"/>
                  <a:stretch/>
                </pic:blipFill>
                <pic:spPr bwMode="auto">
                  <a:xfrm>
                    <a:off x="0" y="0"/>
                    <a:ext cx="2480890" cy="341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4AAE">
      <w:rPr>
        <w:noProof/>
      </w:rPr>
      <w:drawing>
        <wp:anchor distT="0" distB="0" distL="114300" distR="114300" simplePos="0" relativeHeight="251660288" behindDoc="0" locked="0" layoutInCell="1" allowOverlap="1" wp14:anchorId="159478F7" wp14:editId="7BF15532">
          <wp:simplePos x="0" y="0"/>
          <wp:positionH relativeFrom="column">
            <wp:posOffset>5912485</wp:posOffset>
          </wp:positionH>
          <wp:positionV relativeFrom="paragraph">
            <wp:posOffset>-78105</wp:posOffset>
          </wp:positionV>
          <wp:extent cx="45085" cy="106489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AAE">
      <w:rPr>
        <w:noProof/>
      </w:rPr>
      <w:drawing>
        <wp:anchor distT="0" distB="0" distL="114300" distR="114300" simplePos="0" relativeHeight="251659264" behindDoc="1" locked="0" layoutInCell="1" allowOverlap="1" wp14:anchorId="4A4CFFAF" wp14:editId="06F9B9F0">
          <wp:simplePos x="0" y="0"/>
          <wp:positionH relativeFrom="column">
            <wp:posOffset>-483870</wp:posOffset>
          </wp:positionH>
          <wp:positionV relativeFrom="page">
            <wp:posOffset>371899</wp:posOffset>
          </wp:positionV>
          <wp:extent cx="1079500" cy="1391285"/>
          <wp:effectExtent l="0" t="0" r="12700" b="5715"/>
          <wp:wrapNone/>
          <wp:docPr id="3" name="Imagen 3" descr="C:\Users\Usuario\Desktop\LOGO CÁMARA LXIV\Logotipo Camara de Diputados_LXIV Legislatura\Logotipo\jpg\LXIV Legislatura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 CÁMARA LXIV\Logotipo Camara de Diputados_LXIV Legislatura\Logotipo\jpg\LXIV Legislatura_vertica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795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34A"/>
    <w:multiLevelType w:val="hybridMultilevel"/>
    <w:tmpl w:val="BEE01FA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9025C8"/>
    <w:multiLevelType w:val="hybridMultilevel"/>
    <w:tmpl w:val="4F3AC8D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3A1C96"/>
    <w:multiLevelType w:val="hybridMultilevel"/>
    <w:tmpl w:val="99C20F26"/>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8A846E6"/>
    <w:multiLevelType w:val="hybridMultilevel"/>
    <w:tmpl w:val="5E045E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5DF4466"/>
    <w:multiLevelType w:val="hybridMultilevel"/>
    <w:tmpl w:val="8F4A79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730F72"/>
    <w:multiLevelType w:val="hybridMultilevel"/>
    <w:tmpl w:val="739486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1D70A4"/>
    <w:multiLevelType w:val="hybridMultilevel"/>
    <w:tmpl w:val="BC3CE7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29245EB"/>
    <w:multiLevelType w:val="hybridMultilevel"/>
    <w:tmpl w:val="0A1ACC1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8530D00"/>
    <w:multiLevelType w:val="hybridMultilevel"/>
    <w:tmpl w:val="BC3CE76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E086C6B"/>
    <w:multiLevelType w:val="hybridMultilevel"/>
    <w:tmpl w:val="558428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EF4509B"/>
    <w:multiLevelType w:val="hybridMultilevel"/>
    <w:tmpl w:val="7174EFD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AD165D2"/>
    <w:multiLevelType w:val="hybridMultilevel"/>
    <w:tmpl w:val="BA0E5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C3226F9"/>
    <w:multiLevelType w:val="hybridMultilevel"/>
    <w:tmpl w:val="41C811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45C6DD2"/>
    <w:multiLevelType w:val="hybridMultilevel"/>
    <w:tmpl w:val="A9E06210"/>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69011873"/>
    <w:multiLevelType w:val="hybridMultilevel"/>
    <w:tmpl w:val="98A2F6FC"/>
    <w:lvl w:ilvl="0" w:tplc="040A000F">
      <w:start w:val="1"/>
      <w:numFmt w:val="decimal"/>
      <w:lvlText w:val="%1."/>
      <w:lvlJc w:val="left"/>
      <w:pPr>
        <w:ind w:left="1996" w:hanging="360"/>
      </w:pPr>
    </w:lvl>
    <w:lvl w:ilvl="1" w:tplc="040A0019" w:tentative="1">
      <w:start w:val="1"/>
      <w:numFmt w:val="lowerLetter"/>
      <w:lvlText w:val="%2."/>
      <w:lvlJc w:val="left"/>
      <w:pPr>
        <w:ind w:left="2716" w:hanging="360"/>
      </w:pPr>
    </w:lvl>
    <w:lvl w:ilvl="2" w:tplc="040A001B" w:tentative="1">
      <w:start w:val="1"/>
      <w:numFmt w:val="lowerRoman"/>
      <w:lvlText w:val="%3."/>
      <w:lvlJc w:val="right"/>
      <w:pPr>
        <w:ind w:left="3436" w:hanging="180"/>
      </w:pPr>
    </w:lvl>
    <w:lvl w:ilvl="3" w:tplc="040A000F" w:tentative="1">
      <w:start w:val="1"/>
      <w:numFmt w:val="decimal"/>
      <w:lvlText w:val="%4."/>
      <w:lvlJc w:val="left"/>
      <w:pPr>
        <w:ind w:left="4156" w:hanging="360"/>
      </w:pPr>
    </w:lvl>
    <w:lvl w:ilvl="4" w:tplc="040A0019" w:tentative="1">
      <w:start w:val="1"/>
      <w:numFmt w:val="lowerLetter"/>
      <w:lvlText w:val="%5."/>
      <w:lvlJc w:val="left"/>
      <w:pPr>
        <w:ind w:left="4876" w:hanging="360"/>
      </w:pPr>
    </w:lvl>
    <w:lvl w:ilvl="5" w:tplc="040A001B" w:tentative="1">
      <w:start w:val="1"/>
      <w:numFmt w:val="lowerRoman"/>
      <w:lvlText w:val="%6."/>
      <w:lvlJc w:val="right"/>
      <w:pPr>
        <w:ind w:left="5596" w:hanging="180"/>
      </w:pPr>
    </w:lvl>
    <w:lvl w:ilvl="6" w:tplc="040A000F" w:tentative="1">
      <w:start w:val="1"/>
      <w:numFmt w:val="decimal"/>
      <w:lvlText w:val="%7."/>
      <w:lvlJc w:val="left"/>
      <w:pPr>
        <w:ind w:left="6316" w:hanging="360"/>
      </w:pPr>
    </w:lvl>
    <w:lvl w:ilvl="7" w:tplc="040A0019" w:tentative="1">
      <w:start w:val="1"/>
      <w:numFmt w:val="lowerLetter"/>
      <w:lvlText w:val="%8."/>
      <w:lvlJc w:val="left"/>
      <w:pPr>
        <w:ind w:left="7036" w:hanging="360"/>
      </w:pPr>
    </w:lvl>
    <w:lvl w:ilvl="8" w:tplc="040A001B" w:tentative="1">
      <w:start w:val="1"/>
      <w:numFmt w:val="lowerRoman"/>
      <w:lvlText w:val="%9."/>
      <w:lvlJc w:val="right"/>
      <w:pPr>
        <w:ind w:left="7756" w:hanging="180"/>
      </w:pPr>
    </w:lvl>
  </w:abstractNum>
  <w:abstractNum w:abstractNumId="15" w15:restartNumberingAfterBreak="0">
    <w:nsid w:val="69F70978"/>
    <w:multiLevelType w:val="hybridMultilevel"/>
    <w:tmpl w:val="92369F7C"/>
    <w:lvl w:ilvl="0" w:tplc="E53A5E0E">
      <w:start w:val="1"/>
      <w:numFmt w:val="decimal"/>
      <w:lvlText w:val="%1."/>
      <w:lvlJc w:val="left"/>
      <w:pPr>
        <w:ind w:left="720" w:hanging="360"/>
      </w:pPr>
      <w:rPr>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89E20FF"/>
    <w:multiLevelType w:val="hybridMultilevel"/>
    <w:tmpl w:val="276EEF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0"/>
  </w:num>
  <w:num w:numId="5">
    <w:abstractNumId w:val="2"/>
  </w:num>
  <w:num w:numId="6">
    <w:abstractNumId w:val="1"/>
  </w:num>
  <w:num w:numId="7">
    <w:abstractNumId w:val="8"/>
  </w:num>
  <w:num w:numId="8">
    <w:abstractNumId w:val="11"/>
  </w:num>
  <w:num w:numId="9">
    <w:abstractNumId w:val="15"/>
  </w:num>
  <w:num w:numId="10">
    <w:abstractNumId w:val="9"/>
  </w:num>
  <w:num w:numId="11">
    <w:abstractNumId w:val="5"/>
  </w:num>
  <w:num w:numId="12">
    <w:abstractNumId w:val="16"/>
  </w:num>
  <w:num w:numId="13">
    <w:abstractNumId w:val="3"/>
  </w:num>
  <w:num w:numId="14">
    <w:abstractNumId w:val="4"/>
  </w:num>
  <w:num w:numId="15">
    <w:abstractNumId w:val="1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9D"/>
    <w:rsid w:val="000C5B10"/>
    <w:rsid w:val="001A7CA1"/>
    <w:rsid w:val="001D46DF"/>
    <w:rsid w:val="001E071B"/>
    <w:rsid w:val="0029549D"/>
    <w:rsid w:val="002E60C9"/>
    <w:rsid w:val="0039517D"/>
    <w:rsid w:val="00412D18"/>
    <w:rsid w:val="004D4AAE"/>
    <w:rsid w:val="00554378"/>
    <w:rsid w:val="00611F61"/>
    <w:rsid w:val="006E3871"/>
    <w:rsid w:val="007A4A3E"/>
    <w:rsid w:val="00900B32"/>
    <w:rsid w:val="009056E9"/>
    <w:rsid w:val="00907146"/>
    <w:rsid w:val="00AA6298"/>
    <w:rsid w:val="00B075DF"/>
    <w:rsid w:val="00D912AD"/>
    <w:rsid w:val="00EB1B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57190"/>
  <w15:chartTrackingRefBased/>
  <w15:docId w15:val="{9B931482-41D8-BB4A-89E8-0ED35287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AAE"/>
    <w:pPr>
      <w:tabs>
        <w:tab w:val="center" w:pos="4419"/>
        <w:tab w:val="right" w:pos="8838"/>
      </w:tabs>
    </w:pPr>
  </w:style>
  <w:style w:type="character" w:customStyle="1" w:styleId="EncabezadoCar">
    <w:name w:val="Encabezado Car"/>
    <w:basedOn w:val="Fuentedeprrafopredeter"/>
    <w:link w:val="Encabezado"/>
    <w:uiPriority w:val="99"/>
    <w:rsid w:val="004D4AAE"/>
  </w:style>
  <w:style w:type="paragraph" w:styleId="Piedepgina">
    <w:name w:val="footer"/>
    <w:basedOn w:val="Normal"/>
    <w:link w:val="PiedepginaCar"/>
    <w:uiPriority w:val="99"/>
    <w:unhideWhenUsed/>
    <w:rsid w:val="004D4AAE"/>
    <w:pPr>
      <w:tabs>
        <w:tab w:val="center" w:pos="4419"/>
        <w:tab w:val="right" w:pos="8838"/>
      </w:tabs>
    </w:pPr>
  </w:style>
  <w:style w:type="character" w:customStyle="1" w:styleId="PiedepginaCar">
    <w:name w:val="Pie de página Car"/>
    <w:basedOn w:val="Fuentedeprrafopredeter"/>
    <w:link w:val="Piedepgina"/>
    <w:uiPriority w:val="99"/>
    <w:rsid w:val="004D4AAE"/>
  </w:style>
  <w:style w:type="paragraph" w:styleId="Textodeglobo">
    <w:name w:val="Balloon Text"/>
    <w:basedOn w:val="Normal"/>
    <w:link w:val="TextodegloboCar"/>
    <w:uiPriority w:val="99"/>
    <w:semiHidden/>
    <w:unhideWhenUsed/>
    <w:rsid w:val="004D4AA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D4AAE"/>
    <w:rPr>
      <w:rFonts w:ascii="Times New Roman" w:hAnsi="Times New Roman" w:cs="Times New Roman"/>
      <w:sz w:val="18"/>
      <w:szCs w:val="18"/>
    </w:rPr>
  </w:style>
  <w:style w:type="paragraph" w:styleId="Prrafodelista">
    <w:name w:val="List Paragraph"/>
    <w:basedOn w:val="Normal"/>
    <w:uiPriority w:val="34"/>
    <w:qFormat/>
    <w:rsid w:val="0029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duardoMolina/Documents/Ca&#769;mara%20de%20Diputados/Planeacio&#769;n/Oficio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r>
              <a:rPr lang="en-US" sz="1050" cap="none">
                <a:solidFill>
                  <a:schemeClr val="tx1"/>
                </a:solidFill>
                <a:latin typeface="Arial" panose="020B0604020202020204" pitchFamily="34" charset="0"/>
                <a:cs typeface="Arial" panose="020B0604020202020204" pitchFamily="34" charset="0"/>
              </a:rPr>
              <a:t>Gráfico 1.</a:t>
            </a:r>
            <a:r>
              <a:rPr lang="en-US" sz="1050" cap="none" baseline="0">
                <a:solidFill>
                  <a:schemeClr val="tx1"/>
                </a:solidFill>
                <a:latin typeface="Arial" panose="020B0604020202020204" pitchFamily="34" charset="0"/>
                <a:cs typeface="Arial" panose="020B0604020202020204" pitchFamily="34" charset="0"/>
              </a:rPr>
              <a:t> </a:t>
            </a:r>
            <a:r>
              <a:rPr lang="en-US" sz="1050" cap="none">
                <a:solidFill>
                  <a:schemeClr val="tx1"/>
                </a:solidFill>
                <a:latin typeface="Arial" panose="020B0604020202020204" pitchFamily="34" charset="0"/>
                <a:cs typeface="Arial" panose="020B0604020202020204" pitchFamily="34" charset="0"/>
              </a:rPr>
              <a:t>Distribución de asuntos</a:t>
            </a:r>
            <a:r>
              <a:rPr lang="en-US" sz="1050" cap="none" baseline="0">
                <a:solidFill>
                  <a:schemeClr val="tx1"/>
                </a:solidFill>
                <a:latin typeface="Arial" panose="020B0604020202020204" pitchFamily="34" charset="0"/>
                <a:cs typeface="Arial" panose="020B0604020202020204" pitchFamily="34" charset="0"/>
              </a:rPr>
              <a:t> recibidos en la Comisión</a:t>
            </a:r>
            <a:endParaRPr lang="en-US" sz="1050" cap="none">
              <a:solidFill>
                <a:schemeClr val="tx1"/>
              </a:solidFill>
              <a:latin typeface="Arial" panose="020B0604020202020204" pitchFamily="34" charset="0"/>
              <a:cs typeface="Arial" panose="020B0604020202020204" pitchFamily="34" charset="0"/>
            </a:endParaRPr>
          </a:p>
        </c:rich>
      </c:tx>
      <c:layout>
        <c:manualLayout>
          <c:xMode val="edge"/>
          <c:yMode val="edge"/>
          <c:x val="0.10647215609676697"/>
          <c:y val="4.3650928483845719E-2"/>
        </c:manualLayout>
      </c:layout>
      <c:overlay val="0"/>
      <c:spPr>
        <a:noFill/>
        <a:ln>
          <a:noFill/>
        </a:ln>
        <a:effectLst/>
      </c:spPr>
      <c:txPr>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3921103612048494"/>
          <c:w val="0.82407407407407407"/>
          <c:h val="0.70054618172728411"/>
        </c:manualLayout>
      </c:layout>
      <c:pie3DChart>
        <c:varyColors val="1"/>
        <c:ser>
          <c:idx val="0"/>
          <c:order val="0"/>
          <c:tx>
            <c:strRef>
              <c:f>Hoja1!$B$1</c:f>
              <c:strCache>
                <c:ptCount val="1"/>
                <c:pt idx="0">
                  <c:v>No. de asuntos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DCF-7747-ADC5-9E1375FD397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DCF-7747-ADC5-9E1375FD397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DCF-7747-ADC5-9E1375FD397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DCF-7747-ADC5-9E1375FD397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4-4DCF-7747-ADC5-9E1375FD397E}"/>
                </c:ext>
              </c:extLst>
            </c:dLbl>
            <c:dLbl>
              <c:idx val="1"/>
              <c:layout>
                <c:manualLayout>
                  <c:x val="-0.10335917312661499"/>
                  <c:y val="0.103189493433395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DCF-7747-ADC5-9E1375FD397E}"/>
                </c:ext>
              </c:extLst>
            </c:dLbl>
            <c:dLbl>
              <c:idx val="2"/>
              <c:layout>
                <c:manualLayout>
                  <c:x val="-0.13727400354025515"/>
                  <c:y val="3.2833020637898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CF-7747-ADC5-9E1375FD397E}"/>
                </c:ext>
              </c:extLst>
            </c:dLbl>
            <c:dLbl>
              <c:idx val="3"/>
              <c:layout>
                <c:manualLayout>
                  <c:x val="0.3157838409733667"/>
                  <c:y val="3.96899144642567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DCF-7747-ADC5-9E1375FD397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Iniciativas</c:v>
                </c:pt>
                <c:pt idx="1">
                  <c:v>Puntos de acuerdo</c:v>
                </c:pt>
                <c:pt idx="2">
                  <c:v>Minutas</c:v>
                </c:pt>
                <c:pt idx="3">
                  <c:v>Informes</c:v>
                </c:pt>
              </c:strCache>
            </c:strRef>
          </c:cat>
          <c:val>
            <c:numRef>
              <c:f>Hoja1!$B$2:$B$5</c:f>
              <c:numCache>
                <c:formatCode>General</c:formatCode>
                <c:ptCount val="4"/>
                <c:pt idx="0">
                  <c:v>193</c:v>
                </c:pt>
                <c:pt idx="1">
                  <c:v>56</c:v>
                </c:pt>
                <c:pt idx="2">
                  <c:v>6</c:v>
                </c:pt>
                <c:pt idx="3">
                  <c:v>3</c:v>
                </c:pt>
              </c:numCache>
            </c:numRef>
          </c:val>
          <c:extLst>
            <c:ext xmlns:c16="http://schemas.microsoft.com/office/drawing/2014/chart" uri="{C3380CC4-5D6E-409C-BE32-E72D297353CC}">
              <c16:uniqueId val="{00000000-4DCF-7747-ADC5-9E1375FD397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r>
              <a:rPr lang="en-US" sz="1050" cap="none">
                <a:solidFill>
                  <a:schemeClr val="tx1"/>
                </a:solidFill>
                <a:latin typeface="Arial" panose="020B0604020202020204" pitchFamily="34" charset="0"/>
                <a:cs typeface="Arial" panose="020B0604020202020204" pitchFamily="34" charset="0"/>
              </a:rPr>
              <a:t>Gráfico 2.</a:t>
            </a:r>
            <a:r>
              <a:rPr lang="en-US" sz="1050" cap="none" baseline="0">
                <a:solidFill>
                  <a:schemeClr val="tx1"/>
                </a:solidFill>
                <a:latin typeface="Arial" panose="020B0604020202020204" pitchFamily="34" charset="0"/>
                <a:cs typeface="Arial" panose="020B0604020202020204" pitchFamily="34" charset="0"/>
              </a:rPr>
              <a:t> </a:t>
            </a:r>
            <a:r>
              <a:rPr lang="en-US" sz="1050" cap="none">
                <a:solidFill>
                  <a:schemeClr val="tx1"/>
                </a:solidFill>
                <a:latin typeface="Arial" panose="020B0604020202020204" pitchFamily="34" charset="0"/>
                <a:cs typeface="Arial" panose="020B0604020202020204" pitchFamily="34" charset="0"/>
              </a:rPr>
              <a:t>Distribución de asuntos</a:t>
            </a:r>
            <a:r>
              <a:rPr lang="en-US" sz="1050" cap="none" baseline="0">
                <a:solidFill>
                  <a:schemeClr val="tx1"/>
                </a:solidFill>
                <a:latin typeface="Arial" panose="020B0604020202020204" pitchFamily="34" charset="0"/>
                <a:cs typeface="Arial" panose="020B0604020202020204" pitchFamily="34" charset="0"/>
              </a:rPr>
              <a:t> atendidos por la Comisión</a:t>
            </a:r>
            <a:endParaRPr lang="en-US" sz="1050" cap="none">
              <a:solidFill>
                <a:schemeClr val="tx1"/>
              </a:solidFill>
              <a:latin typeface="Arial" panose="020B0604020202020204" pitchFamily="34" charset="0"/>
              <a:cs typeface="Arial" panose="020B0604020202020204" pitchFamily="34" charset="0"/>
            </a:endParaRPr>
          </a:p>
        </c:rich>
      </c:tx>
      <c:layout>
        <c:manualLayout>
          <c:xMode val="edge"/>
          <c:yMode val="edge"/>
          <c:x val="0.15039980467557834"/>
          <c:y val="3.4270065444446086E-2"/>
        </c:manualLayout>
      </c:layout>
      <c:overlay val="0"/>
      <c:spPr>
        <a:noFill/>
        <a:ln>
          <a:noFill/>
        </a:ln>
        <a:effectLst/>
      </c:spPr>
      <c:txPr>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3921103612048494"/>
          <c:w val="0.82407407407407407"/>
          <c:h val="0.70054618172728411"/>
        </c:manualLayout>
      </c:layout>
      <c:pie3DChart>
        <c:varyColors val="1"/>
        <c:ser>
          <c:idx val="0"/>
          <c:order val="0"/>
          <c:tx>
            <c:strRef>
              <c:f>Hoja1!$B$1</c:f>
              <c:strCache>
                <c:ptCount val="1"/>
                <c:pt idx="0">
                  <c:v>No. de asuntos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651-134C-B666-82F7BDCA0D2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651-134C-B666-82F7BDCA0D2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651-134C-B666-82F7BDCA0D2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651-134C-B666-82F7BDCA0D2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0"/>
              <c:showCatName val="1"/>
              <c:showSerName val="0"/>
              <c:showPercent val="1"/>
              <c:showBubbleSize val="0"/>
              <c:extLst>
                <c:ext xmlns:c16="http://schemas.microsoft.com/office/drawing/2014/chart" uri="{C3380CC4-5D6E-409C-BE32-E72D297353CC}">
                  <c16:uniqueId val="{00000001-D651-134C-B666-82F7BDCA0D21}"/>
                </c:ext>
              </c:extLst>
            </c:dLbl>
            <c:dLbl>
              <c:idx val="1"/>
              <c:layout>
                <c:manualLayout>
                  <c:x val="-0.10335917312661499"/>
                  <c:y val="0.103189493433395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51-134C-B666-82F7BDCA0D21}"/>
                </c:ext>
              </c:extLst>
            </c:dLbl>
            <c:dLbl>
              <c:idx val="2"/>
              <c:layout>
                <c:manualLayout>
                  <c:x val="-0.13727400354025515"/>
                  <c:y val="3.2833020637898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651-134C-B666-82F7BDCA0D21}"/>
                </c:ext>
              </c:extLst>
            </c:dLbl>
            <c:dLbl>
              <c:idx val="3"/>
              <c:layout>
                <c:manualLayout>
                  <c:x val="0.33128771694235892"/>
                  <c:y val="1.154732534605779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651-134C-B666-82F7BDCA0D2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Iniciativas</c:v>
                </c:pt>
                <c:pt idx="1">
                  <c:v>Puntos de acuerdo</c:v>
                </c:pt>
                <c:pt idx="2">
                  <c:v>Minutas</c:v>
                </c:pt>
                <c:pt idx="3">
                  <c:v>Opiniones</c:v>
                </c:pt>
              </c:strCache>
            </c:strRef>
          </c:cat>
          <c:val>
            <c:numRef>
              <c:f>Hoja1!$B$2:$B$5</c:f>
              <c:numCache>
                <c:formatCode>General</c:formatCode>
                <c:ptCount val="4"/>
                <c:pt idx="0">
                  <c:v>35</c:v>
                </c:pt>
                <c:pt idx="1">
                  <c:v>12</c:v>
                </c:pt>
                <c:pt idx="2">
                  <c:v>4</c:v>
                </c:pt>
                <c:pt idx="3">
                  <c:v>2</c:v>
                </c:pt>
              </c:numCache>
            </c:numRef>
          </c:val>
          <c:extLst>
            <c:ext xmlns:c16="http://schemas.microsoft.com/office/drawing/2014/chart" uri="{C3380CC4-5D6E-409C-BE32-E72D297353CC}">
              <c16:uniqueId val="{00000008-D651-134C-B666-82F7BDCA0D2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r>
              <a:rPr lang="en-US" sz="1050" cap="none">
                <a:solidFill>
                  <a:schemeClr val="tx1"/>
                </a:solidFill>
                <a:latin typeface="Arial" panose="020B0604020202020204" pitchFamily="34" charset="0"/>
                <a:cs typeface="Arial" panose="020B0604020202020204" pitchFamily="34" charset="0"/>
              </a:rPr>
              <a:t>Gráfico 3.</a:t>
            </a:r>
            <a:r>
              <a:rPr lang="en-US" sz="1050" cap="none" baseline="0">
                <a:solidFill>
                  <a:schemeClr val="tx1"/>
                </a:solidFill>
                <a:latin typeface="Arial" panose="020B0604020202020204" pitchFamily="34" charset="0"/>
                <a:cs typeface="Arial" panose="020B0604020202020204" pitchFamily="34" charset="0"/>
              </a:rPr>
              <a:t> </a:t>
            </a:r>
            <a:r>
              <a:rPr lang="en-US" sz="1050" cap="none">
                <a:solidFill>
                  <a:schemeClr val="tx1"/>
                </a:solidFill>
                <a:latin typeface="Arial" panose="020B0604020202020204" pitchFamily="34" charset="0"/>
                <a:cs typeface="Arial" panose="020B0604020202020204" pitchFamily="34" charset="0"/>
              </a:rPr>
              <a:t>Sentido de las iniciativas</a:t>
            </a:r>
            <a:r>
              <a:rPr lang="en-US" sz="1050" cap="none" baseline="0">
                <a:solidFill>
                  <a:schemeClr val="tx1"/>
                </a:solidFill>
                <a:latin typeface="Arial" panose="020B0604020202020204" pitchFamily="34" charset="0"/>
                <a:cs typeface="Arial" panose="020B0604020202020204" pitchFamily="34" charset="0"/>
              </a:rPr>
              <a:t> dictaminadas por la Comisión</a:t>
            </a:r>
            <a:endParaRPr lang="en-US" sz="1050" cap="none">
              <a:solidFill>
                <a:schemeClr val="tx1"/>
              </a:solidFill>
              <a:latin typeface="Arial" panose="020B0604020202020204" pitchFamily="34" charset="0"/>
              <a:cs typeface="Arial" panose="020B0604020202020204" pitchFamily="34" charset="0"/>
            </a:endParaRPr>
          </a:p>
        </c:rich>
      </c:tx>
      <c:layout>
        <c:manualLayout>
          <c:xMode val="edge"/>
          <c:yMode val="edge"/>
          <c:x val="0.10647215609676697"/>
          <c:y val="4.3650928483845719E-2"/>
        </c:manualLayout>
      </c:layout>
      <c:overlay val="0"/>
      <c:spPr>
        <a:noFill/>
        <a:ln>
          <a:noFill/>
        </a:ln>
        <a:effectLst/>
      </c:spPr>
      <c:txPr>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3921103612048494"/>
          <c:w val="0.82407407407407407"/>
          <c:h val="0.70054618172728411"/>
        </c:manualLayout>
      </c:layout>
      <c:pie3DChart>
        <c:varyColors val="1"/>
        <c:ser>
          <c:idx val="0"/>
          <c:order val="0"/>
          <c:tx>
            <c:strRef>
              <c:f>Hoja1!$B$1</c:f>
              <c:strCache>
                <c:ptCount val="1"/>
                <c:pt idx="0">
                  <c:v>No. de asuntos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1CF-7144-8C6C-65EE6FA8838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1CF-7144-8C6C-65EE6FA88384}"/>
              </c:ext>
            </c:extLst>
          </c:dPt>
          <c:dLbls>
            <c:dLbl>
              <c:idx val="0"/>
              <c:layout>
                <c:manualLayout>
                  <c:x val="7.7519379844961336E-2"/>
                  <c:y val="-6.09756097560975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1CF-7144-8C6C-65EE6FA88384}"/>
                </c:ext>
              </c:extLst>
            </c:dLbl>
            <c:dLbl>
              <c:idx val="1"/>
              <c:layout>
                <c:manualLayout>
                  <c:x val="-0.10335917312661499"/>
                  <c:y val="0.103189493433395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1CF-7144-8C6C-65EE6FA8838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En sentido positivo</c:v>
                </c:pt>
                <c:pt idx="1">
                  <c:v>En sentido negativo</c:v>
                </c:pt>
              </c:strCache>
            </c:strRef>
          </c:cat>
          <c:val>
            <c:numRef>
              <c:f>Hoja1!$B$2:$B$3</c:f>
              <c:numCache>
                <c:formatCode>General</c:formatCode>
                <c:ptCount val="2"/>
                <c:pt idx="0">
                  <c:v>27</c:v>
                </c:pt>
                <c:pt idx="1">
                  <c:v>8</c:v>
                </c:pt>
              </c:numCache>
            </c:numRef>
          </c:val>
          <c:extLst>
            <c:ext xmlns:c16="http://schemas.microsoft.com/office/drawing/2014/chart" uri="{C3380CC4-5D6E-409C-BE32-E72D297353CC}">
              <c16:uniqueId val="{00000008-E1CF-7144-8C6C-65EE6FA8838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r>
              <a:rPr lang="es-ES_tradnl" sz="1050">
                <a:solidFill>
                  <a:schemeClr val="tx1"/>
                </a:solidFill>
                <a:latin typeface="Arial" panose="020B0604020202020204" pitchFamily="34" charset="0"/>
                <a:cs typeface="Arial" panose="020B0604020202020204" pitchFamily="34" charset="0"/>
              </a:rPr>
              <a:t>Gráfico 4. Estado</a:t>
            </a:r>
            <a:r>
              <a:rPr lang="es-ES_tradnl" sz="1050" baseline="0">
                <a:solidFill>
                  <a:schemeClr val="tx1"/>
                </a:solidFill>
                <a:latin typeface="Arial" panose="020B0604020202020204" pitchFamily="34" charset="0"/>
                <a:cs typeface="Arial" panose="020B0604020202020204" pitchFamily="34" charset="0"/>
              </a:rPr>
              <a:t> de los dictámenes de iniciativas turnados al Pleno</a:t>
            </a:r>
            <a:endParaRPr lang="es-ES_tradnl" sz="105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bar"/>
        <c:grouping val="clustered"/>
        <c:varyColors val="0"/>
        <c:ser>
          <c:idx val="0"/>
          <c:order val="0"/>
          <c:tx>
            <c:strRef>
              <c:f>Hoja1!$B$1</c:f>
              <c:strCache>
                <c:ptCount val="1"/>
                <c:pt idx="0">
                  <c:v>Aprobado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En Positivo</c:v>
                </c:pt>
                <c:pt idx="1">
                  <c:v>En Negativo</c:v>
                </c:pt>
              </c:strCache>
            </c:strRef>
          </c:cat>
          <c:val>
            <c:numRef>
              <c:f>Hoja1!$B$2:$B$3</c:f>
              <c:numCache>
                <c:formatCode>General</c:formatCode>
                <c:ptCount val="2"/>
                <c:pt idx="0">
                  <c:v>14</c:v>
                </c:pt>
                <c:pt idx="1">
                  <c:v>1</c:v>
                </c:pt>
              </c:numCache>
            </c:numRef>
          </c:val>
          <c:extLst>
            <c:ext xmlns:c16="http://schemas.microsoft.com/office/drawing/2014/chart" uri="{C3380CC4-5D6E-409C-BE32-E72D297353CC}">
              <c16:uniqueId val="{00000000-16B3-5E44-9E8F-CB0E05268A20}"/>
            </c:ext>
          </c:extLst>
        </c:ser>
        <c:ser>
          <c:idx val="1"/>
          <c:order val="1"/>
          <c:tx>
            <c:strRef>
              <c:f>Hoja1!$C$1</c:f>
              <c:strCache>
                <c:ptCount val="1"/>
                <c:pt idx="0">
                  <c:v>Pendiente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En Positivo</c:v>
                </c:pt>
                <c:pt idx="1">
                  <c:v>En Negativo</c:v>
                </c:pt>
              </c:strCache>
            </c:strRef>
          </c:cat>
          <c:val>
            <c:numRef>
              <c:f>Hoja1!$C$2:$C$3</c:f>
              <c:numCache>
                <c:formatCode>General</c:formatCode>
                <c:ptCount val="2"/>
                <c:pt idx="0">
                  <c:v>13</c:v>
                </c:pt>
                <c:pt idx="1">
                  <c:v>7</c:v>
                </c:pt>
              </c:numCache>
            </c:numRef>
          </c:val>
          <c:extLst>
            <c:ext xmlns:c16="http://schemas.microsoft.com/office/drawing/2014/chart" uri="{C3380CC4-5D6E-409C-BE32-E72D297353CC}">
              <c16:uniqueId val="{00000001-16B3-5E44-9E8F-CB0E05268A20}"/>
            </c:ext>
          </c:extLst>
        </c:ser>
        <c:dLbls>
          <c:dLblPos val="inEnd"/>
          <c:showLegendKey val="0"/>
          <c:showVal val="1"/>
          <c:showCatName val="0"/>
          <c:showSerName val="0"/>
          <c:showPercent val="0"/>
          <c:showBubbleSize val="0"/>
        </c:dLbls>
        <c:gapWidth val="115"/>
        <c:overlap val="-20"/>
        <c:axId val="1010382703"/>
        <c:axId val="1010361599"/>
      </c:barChart>
      <c:catAx>
        <c:axId val="1010382703"/>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10361599"/>
        <c:crosses val="autoZero"/>
        <c:auto val="1"/>
        <c:lblAlgn val="ctr"/>
        <c:lblOffset val="100"/>
        <c:noMultiLvlLbl val="0"/>
      </c:catAx>
      <c:valAx>
        <c:axId val="10103615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0103827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r>
              <a:rPr lang="en-US" sz="1050" cap="none">
                <a:solidFill>
                  <a:schemeClr val="tx1"/>
                </a:solidFill>
                <a:latin typeface="Arial" panose="020B0604020202020204" pitchFamily="34" charset="0"/>
                <a:cs typeface="Arial" panose="020B0604020202020204" pitchFamily="34" charset="0"/>
              </a:rPr>
              <a:t>Gráfico 5.</a:t>
            </a:r>
            <a:r>
              <a:rPr lang="en-US" sz="1050" cap="none" baseline="0">
                <a:solidFill>
                  <a:schemeClr val="tx1"/>
                </a:solidFill>
                <a:latin typeface="Arial" panose="020B0604020202020204" pitchFamily="34" charset="0"/>
                <a:cs typeface="Arial" panose="020B0604020202020204" pitchFamily="34" charset="0"/>
              </a:rPr>
              <a:t> </a:t>
            </a:r>
            <a:r>
              <a:rPr lang="en-US" sz="1050" cap="none">
                <a:solidFill>
                  <a:schemeClr val="tx1"/>
                </a:solidFill>
                <a:latin typeface="Arial" panose="020B0604020202020204" pitchFamily="34" charset="0"/>
                <a:cs typeface="Arial" panose="020B0604020202020204" pitchFamily="34" charset="0"/>
              </a:rPr>
              <a:t>Estado de las Minutas dictaminadas por la Comisión</a:t>
            </a:r>
          </a:p>
        </c:rich>
      </c:tx>
      <c:layout>
        <c:manualLayout>
          <c:xMode val="edge"/>
          <c:yMode val="edge"/>
          <c:x val="0.16073572198823988"/>
          <c:y val="4.3650928483845719E-2"/>
        </c:manualLayout>
      </c:layout>
      <c:overlay val="0"/>
      <c:spPr>
        <a:noFill/>
        <a:ln>
          <a:noFill/>
        </a:ln>
        <a:effectLst/>
      </c:spPr>
      <c:txPr>
        <a:bodyPr rot="0" spcFirstLastPara="1" vertOverflow="ellipsis" vert="horz" wrap="square" anchor="ctr" anchorCtr="1"/>
        <a:lstStyle/>
        <a:p>
          <a:pPr>
            <a:defRPr sz="1050" b="1" i="0" u="none" strike="noStrike" kern="1200" cap="none" baseline="0">
              <a:solidFill>
                <a:schemeClr val="tx1"/>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2962962962965E-2"/>
          <c:y val="0.23921103612048494"/>
          <c:w val="0.82407407407407407"/>
          <c:h val="0.70054618172728411"/>
        </c:manualLayout>
      </c:layout>
      <c:pie3DChart>
        <c:varyColors val="1"/>
        <c:ser>
          <c:idx val="0"/>
          <c:order val="0"/>
          <c:tx>
            <c:strRef>
              <c:f>Hoja1!$B$1</c:f>
              <c:strCache>
                <c:ptCount val="1"/>
                <c:pt idx="0">
                  <c:v>Cantidad</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1AE-4747-92A6-2C96772FFC3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1AE-4747-92A6-2C96772FFC35}"/>
              </c:ext>
            </c:extLst>
          </c:dPt>
          <c:dLbls>
            <c:dLbl>
              <c:idx val="0"/>
              <c:layout>
                <c:manualLayout>
                  <c:x val="7.7519379844961336E-2"/>
                  <c:y val="-6.09756097560975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1AE-4747-92A6-2C96772FFC35}"/>
                </c:ext>
              </c:extLst>
            </c:dLbl>
            <c:dLbl>
              <c:idx val="1"/>
              <c:layout>
                <c:manualLayout>
                  <c:x val="-0.10335917312661499"/>
                  <c:y val="0.103189493433395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1AE-4747-92A6-2C96772FFC3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Aprobada en Pleno</c:v>
                </c:pt>
                <c:pt idx="1">
                  <c:v>Pendiente</c:v>
                </c:pt>
              </c:strCache>
            </c:strRef>
          </c:cat>
          <c:val>
            <c:numRef>
              <c:f>Hoja1!$B$2:$B$3</c:f>
              <c:numCache>
                <c:formatCode>General</c:formatCode>
                <c:ptCount val="2"/>
                <c:pt idx="0">
                  <c:v>3</c:v>
                </c:pt>
                <c:pt idx="1">
                  <c:v>1</c:v>
                </c:pt>
              </c:numCache>
            </c:numRef>
          </c:val>
          <c:extLst>
            <c:ext xmlns:c16="http://schemas.microsoft.com/office/drawing/2014/chart" uri="{C3380CC4-5D6E-409C-BE32-E72D297353CC}">
              <c16:uniqueId val="{00000004-41AE-4747-92A6-2C96772FFC35}"/>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Oficios.dotx</Template>
  <TotalTime>75</TotalTime>
  <Pages>9</Pages>
  <Words>1932</Words>
  <Characters>10626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Eduardo Molina</cp:lastModifiedBy>
  <cp:revision>5</cp:revision>
  <dcterms:created xsi:type="dcterms:W3CDTF">2019-06-27T13:03:00Z</dcterms:created>
  <dcterms:modified xsi:type="dcterms:W3CDTF">2019-06-27T17:29:00Z</dcterms:modified>
</cp:coreProperties>
</file>