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066" w:rsidRPr="00DE71D2" w:rsidRDefault="003A23DD" w:rsidP="00CF7066">
      <w:pPr>
        <w:spacing w:line="360" w:lineRule="auto"/>
        <w:jc w:val="center"/>
        <w:rPr>
          <w:rFonts w:ascii="Arial" w:hAnsi="Arial" w:cs="Arial"/>
          <w:b/>
          <w:sz w:val="24"/>
          <w:szCs w:val="24"/>
        </w:rPr>
      </w:pPr>
      <w:r w:rsidRPr="00DE71D2">
        <w:rPr>
          <w:rFonts w:ascii="Arial" w:hAnsi="Arial" w:cs="Arial"/>
          <w:b/>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-581025</wp:posOffset>
                </wp:positionH>
                <wp:positionV relativeFrom="paragraph">
                  <wp:posOffset>-339090</wp:posOffset>
                </wp:positionV>
                <wp:extent cx="6837045" cy="8950325"/>
                <wp:effectExtent l="19050" t="19050" r="40005" b="41275"/>
                <wp:wrapNone/>
                <wp:docPr id="1" name="Rectángulo 1"/>
                <wp:cNvGraphicFramePr/>
                <a:graphic xmlns:a="http://schemas.openxmlformats.org/drawingml/2006/main">
                  <a:graphicData uri="http://schemas.microsoft.com/office/word/2010/wordprocessingShape">
                    <wps:wsp>
                      <wps:cNvSpPr/>
                      <wps:spPr>
                        <a:xfrm>
                          <a:off x="0" y="0"/>
                          <a:ext cx="6837045" cy="895032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17DD1" id="Rectángulo 1" o:spid="_x0000_s1026" style="position:absolute;margin-left:-45.75pt;margin-top:-26.7pt;width:538.35pt;height:70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" filled="f" strokecolor="#c00000" strokeweight="4.5pt"/>
            </w:pict>
          </mc:Fallback>
        </mc:AlternateContent>
      </w:r>
      <w:r w:rsidRPr="00DE71D2">
        <w:rPr>
          <w:rFonts w:ascii="Arial" w:hAnsi="Arial" w:cs="Arial"/>
          <w:b/>
          <w:noProof/>
          <w:sz w:val="24"/>
          <w:szCs w:val="24"/>
          <w:lang w:eastAsia="es-MX"/>
        </w:rPr>
        <w:drawing>
          <wp:anchor distT="0" distB="0" distL="114300" distR="114300" simplePos="0" relativeHeight="251659264" behindDoc="0" locked="0" layoutInCell="1" allowOverlap="1" wp14:anchorId="6D16F4F8" wp14:editId="24C0B951">
            <wp:simplePos x="0" y="0"/>
            <wp:positionH relativeFrom="margin">
              <wp:posOffset>1213485</wp:posOffset>
            </wp:positionH>
            <wp:positionV relativeFrom="margin">
              <wp:posOffset>-404</wp:posOffset>
            </wp:positionV>
            <wp:extent cx="3067050" cy="45669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XIV Legislatura_vertical.png"/>
                    <pic:cNvPicPr/>
                  </pic:nvPicPr>
                  <pic:blipFill rotWithShape="1">
                    <a:blip r:embed="rId8" cstate="print">
                      <a:extLst>
                        <a:ext uri="{28A0092B-C50C-407E-A947-70E740481C1C}">
                          <a14:useLocalDpi xmlns:a14="http://schemas.microsoft.com/office/drawing/2010/main" val="0"/>
                        </a:ext>
                      </a:extLst>
                    </a:blip>
                    <a:srcRect l="6610" r="6842"/>
                    <a:stretch/>
                  </pic:blipFill>
                  <pic:spPr bwMode="auto">
                    <a:xfrm>
                      <a:off x="0" y="0"/>
                      <a:ext cx="3067050" cy="4566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7066" w:rsidRPr="00DE71D2" w:rsidRDefault="00CF7066" w:rsidP="00CF7066">
      <w:pPr>
        <w:spacing w:line="360" w:lineRule="auto"/>
        <w:jc w:val="center"/>
        <w:rPr>
          <w:rFonts w:ascii="Arial" w:hAnsi="Arial" w:cs="Arial"/>
          <w:b/>
          <w:sz w:val="24"/>
          <w:szCs w:val="24"/>
        </w:rPr>
      </w:pPr>
    </w:p>
    <w:p w:rsidR="00CF7066" w:rsidRPr="00DE71D2" w:rsidRDefault="00CF7066" w:rsidP="00CF7066">
      <w:pPr>
        <w:spacing w:line="360" w:lineRule="auto"/>
        <w:jc w:val="center"/>
        <w:rPr>
          <w:rFonts w:ascii="Arial" w:hAnsi="Arial" w:cs="Arial"/>
          <w:b/>
          <w:sz w:val="24"/>
          <w:szCs w:val="24"/>
        </w:rPr>
      </w:pPr>
    </w:p>
    <w:p w:rsidR="00CF7066" w:rsidRPr="00DE71D2" w:rsidRDefault="00CF7066" w:rsidP="00CF7066">
      <w:pPr>
        <w:spacing w:line="360" w:lineRule="auto"/>
        <w:jc w:val="center"/>
        <w:rPr>
          <w:rFonts w:ascii="Arial" w:hAnsi="Arial" w:cs="Arial"/>
          <w:b/>
          <w:sz w:val="24"/>
          <w:szCs w:val="24"/>
        </w:rPr>
      </w:pPr>
    </w:p>
    <w:p w:rsidR="00CF7066" w:rsidRPr="00DE71D2" w:rsidRDefault="00CF7066" w:rsidP="00CF7066">
      <w:pPr>
        <w:spacing w:line="360" w:lineRule="auto"/>
        <w:jc w:val="center"/>
        <w:rPr>
          <w:rFonts w:ascii="Arial" w:hAnsi="Arial" w:cs="Arial"/>
          <w:b/>
          <w:sz w:val="24"/>
          <w:szCs w:val="24"/>
        </w:rPr>
      </w:pPr>
    </w:p>
    <w:p w:rsidR="00CF7066" w:rsidRPr="00DE71D2" w:rsidRDefault="00CF7066" w:rsidP="00CF7066">
      <w:pPr>
        <w:spacing w:line="360" w:lineRule="auto"/>
        <w:jc w:val="center"/>
        <w:rPr>
          <w:rFonts w:ascii="Arial" w:hAnsi="Arial" w:cs="Arial"/>
          <w:b/>
          <w:sz w:val="24"/>
          <w:szCs w:val="24"/>
        </w:rPr>
      </w:pPr>
    </w:p>
    <w:p w:rsidR="00CF7066" w:rsidRPr="00DE71D2" w:rsidRDefault="00CF7066" w:rsidP="00CF7066">
      <w:pPr>
        <w:spacing w:line="360" w:lineRule="auto"/>
        <w:jc w:val="center"/>
        <w:rPr>
          <w:rFonts w:ascii="Arial" w:hAnsi="Arial" w:cs="Arial"/>
          <w:b/>
          <w:sz w:val="24"/>
          <w:szCs w:val="24"/>
        </w:rPr>
      </w:pPr>
    </w:p>
    <w:p w:rsidR="00CF7066" w:rsidRPr="00DE71D2" w:rsidRDefault="00CF7066" w:rsidP="00CF7066">
      <w:pPr>
        <w:spacing w:line="360" w:lineRule="auto"/>
        <w:jc w:val="center"/>
        <w:rPr>
          <w:rFonts w:ascii="Arial" w:hAnsi="Arial" w:cs="Arial"/>
          <w:b/>
          <w:sz w:val="24"/>
          <w:szCs w:val="24"/>
        </w:rPr>
      </w:pPr>
    </w:p>
    <w:p w:rsidR="00CF7066" w:rsidRPr="00DE71D2" w:rsidRDefault="00CF7066" w:rsidP="00CF7066">
      <w:pPr>
        <w:spacing w:line="360" w:lineRule="auto"/>
        <w:jc w:val="center"/>
        <w:rPr>
          <w:rFonts w:ascii="Arial" w:hAnsi="Arial" w:cs="Arial"/>
          <w:b/>
          <w:sz w:val="24"/>
          <w:szCs w:val="24"/>
        </w:rPr>
      </w:pPr>
    </w:p>
    <w:p w:rsidR="00CF7066" w:rsidRPr="00DE71D2" w:rsidRDefault="00CF7066" w:rsidP="00CF7066">
      <w:pPr>
        <w:spacing w:line="360" w:lineRule="auto"/>
        <w:jc w:val="center"/>
        <w:rPr>
          <w:rFonts w:ascii="Arial" w:hAnsi="Arial" w:cs="Arial"/>
          <w:b/>
          <w:sz w:val="24"/>
          <w:szCs w:val="24"/>
        </w:rPr>
      </w:pPr>
    </w:p>
    <w:p w:rsidR="00CF7066" w:rsidRPr="00DE71D2" w:rsidRDefault="00CF7066" w:rsidP="00CF7066">
      <w:pPr>
        <w:spacing w:line="360" w:lineRule="auto"/>
        <w:jc w:val="center"/>
        <w:rPr>
          <w:rFonts w:ascii="Arial" w:hAnsi="Arial" w:cs="Arial"/>
          <w:b/>
          <w:sz w:val="24"/>
          <w:szCs w:val="24"/>
        </w:rPr>
      </w:pPr>
    </w:p>
    <w:p w:rsidR="00CF7066" w:rsidRPr="00DE71D2" w:rsidRDefault="00CF7066" w:rsidP="00CF7066">
      <w:pPr>
        <w:spacing w:line="360" w:lineRule="auto"/>
        <w:jc w:val="center"/>
        <w:rPr>
          <w:rFonts w:ascii="Arial" w:hAnsi="Arial" w:cs="Arial"/>
          <w:b/>
          <w:sz w:val="24"/>
          <w:szCs w:val="24"/>
        </w:rPr>
      </w:pPr>
    </w:p>
    <w:p w:rsidR="00CF7066" w:rsidRPr="00DE71D2" w:rsidRDefault="00CF7066" w:rsidP="00CF7066">
      <w:pPr>
        <w:spacing w:line="360" w:lineRule="auto"/>
        <w:jc w:val="center"/>
        <w:rPr>
          <w:rFonts w:ascii="Arial" w:hAnsi="Arial" w:cs="Arial"/>
          <w:b/>
          <w:sz w:val="24"/>
          <w:szCs w:val="24"/>
        </w:rPr>
      </w:pPr>
    </w:p>
    <w:p w:rsidR="00CF7066" w:rsidRPr="00DE71D2" w:rsidRDefault="00CF7066" w:rsidP="00CF7066">
      <w:pPr>
        <w:spacing w:line="360" w:lineRule="auto"/>
        <w:jc w:val="center"/>
        <w:rPr>
          <w:rFonts w:ascii="Arial" w:hAnsi="Arial" w:cs="Arial"/>
          <w:b/>
          <w:sz w:val="24"/>
          <w:szCs w:val="24"/>
        </w:rPr>
      </w:pPr>
    </w:p>
    <w:p w:rsidR="00DE71D2" w:rsidRPr="00DE71D2" w:rsidRDefault="00DE71D2" w:rsidP="00DE71D2">
      <w:pPr>
        <w:spacing w:line="360" w:lineRule="auto"/>
        <w:jc w:val="center"/>
        <w:rPr>
          <w:rFonts w:ascii="Arial" w:hAnsi="Arial" w:cs="Arial"/>
          <w:b/>
          <w:sz w:val="24"/>
          <w:szCs w:val="24"/>
        </w:rPr>
      </w:pPr>
      <w:r w:rsidRPr="00DE71D2">
        <w:rPr>
          <w:rFonts w:ascii="Arial" w:hAnsi="Arial" w:cs="Arial"/>
          <w:b/>
          <w:sz w:val="24"/>
          <w:szCs w:val="24"/>
        </w:rPr>
        <w:t>Opinión de la Comisión Asuntos Frontera Sur sobre la Situación Económica, las Finanzas Públicas y la Deuda Pública al Cuarto Trimestre de 2018.</w:t>
      </w:r>
    </w:p>
    <w:p w:rsidR="00C528F7" w:rsidRDefault="00C528F7" w:rsidP="00C528F7">
      <w:pPr>
        <w:spacing w:line="360" w:lineRule="auto"/>
        <w:jc w:val="center"/>
        <w:rPr>
          <w:rFonts w:ascii="Arial" w:hAnsi="Arial" w:cs="Arial"/>
          <w:b/>
          <w:sz w:val="24"/>
          <w:szCs w:val="24"/>
        </w:rPr>
      </w:pPr>
    </w:p>
    <w:p w:rsidR="00C528F7" w:rsidRDefault="00C528F7" w:rsidP="00C528F7">
      <w:pPr>
        <w:spacing w:line="360" w:lineRule="auto"/>
        <w:jc w:val="center"/>
        <w:rPr>
          <w:rFonts w:ascii="Arial" w:hAnsi="Arial" w:cs="Arial"/>
          <w:b/>
          <w:sz w:val="24"/>
          <w:szCs w:val="24"/>
        </w:rPr>
      </w:pPr>
    </w:p>
    <w:p w:rsidR="00CF7066" w:rsidRPr="00DE71D2" w:rsidRDefault="00811EDA" w:rsidP="00C528F7">
      <w:pPr>
        <w:spacing w:line="360" w:lineRule="auto"/>
        <w:jc w:val="center"/>
        <w:rPr>
          <w:rFonts w:ascii="Arial" w:hAnsi="Arial" w:cs="Arial"/>
          <w:b/>
          <w:sz w:val="24"/>
          <w:szCs w:val="24"/>
        </w:rPr>
      </w:pPr>
      <w:r>
        <w:rPr>
          <w:rFonts w:ascii="Arial" w:hAnsi="Arial" w:cs="Arial"/>
          <w:b/>
          <w:sz w:val="24"/>
          <w:szCs w:val="24"/>
        </w:rPr>
        <w:t>02 DE ABRIL</w:t>
      </w:r>
      <w:r w:rsidR="00CF7066" w:rsidRPr="00DE71D2">
        <w:rPr>
          <w:rFonts w:ascii="Arial" w:hAnsi="Arial" w:cs="Arial"/>
          <w:b/>
          <w:sz w:val="24"/>
          <w:szCs w:val="24"/>
        </w:rPr>
        <w:t xml:space="preserve"> DEL 2019</w:t>
      </w:r>
    </w:p>
    <w:p w:rsidR="00CF7066" w:rsidRPr="00DE71D2" w:rsidRDefault="00CF7066" w:rsidP="00CF7066">
      <w:pPr>
        <w:spacing w:line="360" w:lineRule="auto"/>
        <w:jc w:val="center"/>
        <w:rPr>
          <w:rFonts w:ascii="Arial" w:hAnsi="Arial" w:cs="Arial"/>
          <w:b/>
          <w:sz w:val="24"/>
          <w:szCs w:val="24"/>
        </w:rPr>
      </w:pPr>
    </w:p>
    <w:p w:rsidR="003A23DD" w:rsidRPr="00DE71D2" w:rsidRDefault="003A23DD" w:rsidP="00CF7066">
      <w:pPr>
        <w:spacing w:line="360" w:lineRule="auto"/>
        <w:jc w:val="center"/>
        <w:rPr>
          <w:rFonts w:ascii="Arial" w:hAnsi="Arial" w:cs="Arial"/>
          <w:b/>
          <w:sz w:val="24"/>
          <w:szCs w:val="24"/>
        </w:rPr>
      </w:pPr>
      <w:r w:rsidRPr="00DE71D2">
        <w:rPr>
          <w:rFonts w:ascii="Arial" w:hAnsi="Arial" w:cs="Arial"/>
          <w:b/>
          <w:noProof/>
          <w:sz w:val="24"/>
          <w:szCs w:val="24"/>
          <w:lang w:eastAsia="es-MX"/>
        </w:rPr>
        <w:drawing>
          <wp:anchor distT="0" distB="0" distL="114300" distR="114300" simplePos="0" relativeHeight="251661312" behindDoc="0" locked="0" layoutInCell="1" allowOverlap="1" wp14:anchorId="1186F583" wp14:editId="01854D01">
            <wp:simplePos x="0" y="0"/>
            <wp:positionH relativeFrom="margin">
              <wp:posOffset>4301490</wp:posOffset>
            </wp:positionH>
            <wp:positionV relativeFrom="margin">
              <wp:posOffset>7558059</wp:posOffset>
            </wp:positionV>
            <wp:extent cx="1600200" cy="700405"/>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e Comisión.jpg"/>
                    <pic:cNvPicPr/>
                  </pic:nvPicPr>
                  <pic:blipFill>
                    <a:blip r:embed="rId9">
                      <a:extLst>
                        <a:ext uri="{28A0092B-C50C-407E-A947-70E740481C1C}">
                          <a14:useLocalDpi xmlns:a14="http://schemas.microsoft.com/office/drawing/2010/main" val="0"/>
                        </a:ext>
                      </a:extLst>
                    </a:blip>
                    <a:stretch>
                      <a:fillRect/>
                    </a:stretch>
                  </pic:blipFill>
                  <pic:spPr>
                    <a:xfrm>
                      <a:off x="0" y="0"/>
                      <a:ext cx="1600200" cy="700405"/>
                    </a:xfrm>
                    <a:prstGeom prst="rect">
                      <a:avLst/>
                    </a:prstGeom>
                  </pic:spPr>
                </pic:pic>
              </a:graphicData>
            </a:graphic>
            <wp14:sizeRelH relativeFrom="margin">
              <wp14:pctWidth>0</wp14:pctWidth>
            </wp14:sizeRelH>
            <wp14:sizeRelV relativeFrom="margin">
              <wp14:pctHeight>0</wp14:pctHeight>
            </wp14:sizeRelV>
          </wp:anchor>
        </w:drawing>
      </w:r>
    </w:p>
    <w:p w:rsidR="003A23DD" w:rsidRPr="00DE71D2" w:rsidRDefault="003A23DD" w:rsidP="00CF7066">
      <w:pPr>
        <w:spacing w:line="360" w:lineRule="auto"/>
        <w:jc w:val="center"/>
        <w:rPr>
          <w:rFonts w:ascii="Arial" w:hAnsi="Arial" w:cs="Arial"/>
          <w:b/>
          <w:sz w:val="24"/>
          <w:szCs w:val="24"/>
        </w:rPr>
      </w:pPr>
    </w:p>
    <w:p w:rsidR="00CF7066" w:rsidRPr="00DE71D2" w:rsidRDefault="00CF7066" w:rsidP="00CF7066">
      <w:pPr>
        <w:spacing w:line="360" w:lineRule="auto"/>
        <w:jc w:val="center"/>
        <w:rPr>
          <w:rFonts w:ascii="Arial" w:hAnsi="Arial" w:cs="Arial"/>
          <w:sz w:val="24"/>
          <w:szCs w:val="24"/>
        </w:rPr>
      </w:pPr>
    </w:p>
    <w:p w:rsidR="00CF7066" w:rsidRPr="00DE71D2" w:rsidRDefault="003A23DD" w:rsidP="003A23DD">
      <w:pPr>
        <w:spacing w:line="360" w:lineRule="auto"/>
        <w:jc w:val="center"/>
        <w:rPr>
          <w:rFonts w:ascii="Arial" w:hAnsi="Arial" w:cs="Arial"/>
          <w:b/>
          <w:sz w:val="24"/>
          <w:szCs w:val="24"/>
        </w:rPr>
      </w:pPr>
      <w:r w:rsidRPr="00DE71D2">
        <w:rPr>
          <w:rFonts w:ascii="Arial" w:hAnsi="Arial" w:cs="Arial"/>
          <w:b/>
          <w:sz w:val="24"/>
          <w:szCs w:val="24"/>
        </w:rPr>
        <w:lastRenderedPageBreak/>
        <w:t>INTRODUCCIÓN.</w:t>
      </w:r>
    </w:p>
    <w:p w:rsidR="00570A3C" w:rsidRPr="00DE71D2" w:rsidRDefault="00570A3C" w:rsidP="00B92BA8">
      <w:pPr>
        <w:spacing w:line="276" w:lineRule="auto"/>
        <w:jc w:val="both"/>
        <w:rPr>
          <w:rFonts w:ascii="Arial" w:hAnsi="Arial" w:cs="Arial"/>
          <w:sz w:val="24"/>
          <w:szCs w:val="24"/>
        </w:rPr>
      </w:pPr>
      <w:r w:rsidRPr="00DE71D2">
        <w:rPr>
          <w:rFonts w:ascii="Arial" w:hAnsi="Arial" w:cs="Arial"/>
          <w:sz w:val="24"/>
          <w:szCs w:val="24"/>
        </w:rPr>
        <w:t xml:space="preserve">Una importante tarea </w:t>
      </w:r>
      <w:r w:rsidR="000269C0" w:rsidRPr="00DE71D2">
        <w:rPr>
          <w:rFonts w:ascii="Arial" w:hAnsi="Arial" w:cs="Arial"/>
          <w:sz w:val="24"/>
          <w:szCs w:val="24"/>
        </w:rPr>
        <w:t xml:space="preserve">que tiene la Honorable </w:t>
      </w:r>
      <w:r w:rsidRPr="00DE71D2">
        <w:rPr>
          <w:rFonts w:ascii="Arial" w:hAnsi="Arial" w:cs="Arial"/>
          <w:sz w:val="24"/>
          <w:szCs w:val="24"/>
        </w:rPr>
        <w:t xml:space="preserve">Cámara de Diputados es conocer los avances en la aplicación del presupuesto público. Este seguimiento es parte de las actividades de evaluación que debe realizar de los resultados de la gestión financieras del gobierno federal, para comprobar si el ejercicio del gasto se ha ajustado a los criterios señalados por el Presupuesto aprobado por la propia Cámara. </w:t>
      </w:r>
    </w:p>
    <w:p w:rsidR="00570A3C" w:rsidRPr="00DE71D2" w:rsidRDefault="00570A3C" w:rsidP="00B92BA8">
      <w:pPr>
        <w:spacing w:line="276" w:lineRule="auto"/>
        <w:jc w:val="both"/>
        <w:rPr>
          <w:rFonts w:ascii="Arial" w:hAnsi="Arial" w:cs="Arial"/>
          <w:sz w:val="24"/>
          <w:szCs w:val="24"/>
        </w:rPr>
      </w:pPr>
      <w:r w:rsidRPr="00DE71D2">
        <w:rPr>
          <w:rFonts w:ascii="Arial" w:hAnsi="Arial" w:cs="Arial"/>
          <w:sz w:val="24"/>
          <w:szCs w:val="24"/>
        </w:rPr>
        <w:t xml:space="preserve">Por </w:t>
      </w:r>
      <w:r w:rsidR="000269C0" w:rsidRPr="00DE71D2">
        <w:rPr>
          <w:rFonts w:ascii="Arial" w:hAnsi="Arial" w:cs="Arial"/>
          <w:sz w:val="24"/>
          <w:szCs w:val="24"/>
        </w:rPr>
        <w:t>tal motivo</w:t>
      </w:r>
      <w:r w:rsidRPr="00DE71D2">
        <w:rPr>
          <w:rFonts w:ascii="Arial" w:hAnsi="Arial" w:cs="Arial"/>
          <w:sz w:val="24"/>
          <w:szCs w:val="24"/>
        </w:rPr>
        <w:t xml:space="preserve">, el </w:t>
      </w:r>
      <w:r w:rsidR="00A509DE" w:rsidRPr="00DE71D2">
        <w:rPr>
          <w:rFonts w:ascii="Arial" w:hAnsi="Arial" w:cs="Arial"/>
          <w:sz w:val="24"/>
          <w:szCs w:val="24"/>
        </w:rPr>
        <w:t>Ejecutivo</w:t>
      </w:r>
      <w:r w:rsidRPr="00DE71D2">
        <w:rPr>
          <w:rFonts w:ascii="Arial" w:hAnsi="Arial" w:cs="Arial"/>
          <w:sz w:val="24"/>
          <w:szCs w:val="24"/>
        </w:rPr>
        <w:t xml:space="preserve"> Federal está obligado a informar periódicamente </w:t>
      </w:r>
      <w:r w:rsidR="00A509DE" w:rsidRPr="00DE71D2">
        <w:rPr>
          <w:rFonts w:ascii="Arial" w:hAnsi="Arial" w:cs="Arial"/>
          <w:sz w:val="24"/>
          <w:szCs w:val="24"/>
        </w:rPr>
        <w:t>de tales avances. En este sentido, la Ley Federal de Presupuesto y Responsabilidad Hacendaria (LFPRH), así como las disposiciones en la materia, contem</w:t>
      </w:r>
      <w:r w:rsidR="009F0AFA" w:rsidRPr="00DE71D2">
        <w:rPr>
          <w:rFonts w:ascii="Arial" w:hAnsi="Arial" w:cs="Arial"/>
          <w:sz w:val="24"/>
          <w:szCs w:val="24"/>
        </w:rPr>
        <w:t>pladas en la Ley Federal de Deu</w:t>
      </w:r>
      <w:r w:rsidR="00A509DE" w:rsidRPr="00DE71D2">
        <w:rPr>
          <w:rFonts w:ascii="Arial" w:hAnsi="Arial" w:cs="Arial"/>
          <w:sz w:val="24"/>
          <w:szCs w:val="24"/>
        </w:rPr>
        <w:t xml:space="preserve">da Pública, la Ley de Ingresos de la Federación y el Decreto de Presupuesto de Egresos de la Federación correspondientes, </w:t>
      </w:r>
      <w:r w:rsidR="00995700" w:rsidRPr="00DE71D2">
        <w:rPr>
          <w:rFonts w:ascii="Arial" w:hAnsi="Arial" w:cs="Arial"/>
          <w:sz w:val="24"/>
          <w:szCs w:val="24"/>
        </w:rPr>
        <w:t>establecen la</w:t>
      </w:r>
      <w:r w:rsidR="000269C0" w:rsidRPr="00DE71D2">
        <w:rPr>
          <w:rFonts w:ascii="Arial" w:hAnsi="Arial" w:cs="Arial"/>
          <w:sz w:val="24"/>
          <w:szCs w:val="24"/>
        </w:rPr>
        <w:t xml:space="preserve"> entrega al H. </w:t>
      </w:r>
      <w:r w:rsidR="00A509DE" w:rsidRPr="00DE71D2">
        <w:rPr>
          <w:rFonts w:ascii="Arial" w:hAnsi="Arial" w:cs="Arial"/>
          <w:sz w:val="24"/>
          <w:szCs w:val="24"/>
        </w:rPr>
        <w:t xml:space="preserve">Congreso de la </w:t>
      </w:r>
      <w:r w:rsidR="00995700" w:rsidRPr="00DE71D2">
        <w:rPr>
          <w:rFonts w:ascii="Arial" w:hAnsi="Arial" w:cs="Arial"/>
          <w:sz w:val="24"/>
          <w:szCs w:val="24"/>
        </w:rPr>
        <w:t>Unión, de informes men</w:t>
      </w:r>
      <w:r w:rsidR="00A509DE" w:rsidRPr="00DE71D2">
        <w:rPr>
          <w:rFonts w:ascii="Arial" w:hAnsi="Arial" w:cs="Arial"/>
          <w:sz w:val="24"/>
          <w:szCs w:val="24"/>
        </w:rPr>
        <w:t xml:space="preserve">suales y trimestrales de la evolución de las Finanzas Públicas, </w:t>
      </w:r>
      <w:r w:rsidR="00995700" w:rsidRPr="00DE71D2">
        <w:rPr>
          <w:rFonts w:ascii="Arial" w:hAnsi="Arial" w:cs="Arial"/>
          <w:sz w:val="24"/>
          <w:szCs w:val="24"/>
        </w:rPr>
        <w:t>por conducto de la Secretaría de Hacienda</w:t>
      </w:r>
      <w:r w:rsidR="000269C0" w:rsidRPr="00DE71D2">
        <w:rPr>
          <w:rFonts w:ascii="Arial" w:hAnsi="Arial" w:cs="Arial"/>
          <w:sz w:val="24"/>
          <w:szCs w:val="24"/>
        </w:rPr>
        <w:t xml:space="preserve"> y Crédito Público</w:t>
      </w:r>
      <w:r w:rsidR="00995700" w:rsidRPr="00DE71D2">
        <w:rPr>
          <w:rFonts w:ascii="Arial" w:hAnsi="Arial" w:cs="Arial"/>
          <w:sz w:val="24"/>
          <w:szCs w:val="24"/>
        </w:rPr>
        <w:t xml:space="preserve">. </w:t>
      </w:r>
    </w:p>
    <w:p w:rsidR="00995700" w:rsidRPr="00DE71D2" w:rsidRDefault="00995700" w:rsidP="00B92BA8">
      <w:pPr>
        <w:spacing w:line="276" w:lineRule="auto"/>
        <w:jc w:val="both"/>
        <w:rPr>
          <w:rFonts w:ascii="Arial" w:hAnsi="Arial" w:cs="Arial"/>
          <w:sz w:val="24"/>
          <w:szCs w:val="24"/>
        </w:rPr>
      </w:pPr>
      <w:r w:rsidRPr="00DE71D2">
        <w:rPr>
          <w:rFonts w:ascii="Arial" w:hAnsi="Arial" w:cs="Arial"/>
          <w:sz w:val="24"/>
          <w:szCs w:val="24"/>
        </w:rPr>
        <w:t xml:space="preserve">Conforme a tales disposiciones, la SHCP envió el </w:t>
      </w:r>
      <w:r w:rsidR="000E5591" w:rsidRPr="00DE71D2">
        <w:rPr>
          <w:rFonts w:ascii="Arial" w:hAnsi="Arial" w:cs="Arial"/>
          <w:sz w:val="24"/>
          <w:szCs w:val="24"/>
        </w:rPr>
        <w:t>pasado 19</w:t>
      </w:r>
      <w:r w:rsidR="00DD161A" w:rsidRPr="00DE71D2">
        <w:rPr>
          <w:rFonts w:ascii="Arial" w:hAnsi="Arial" w:cs="Arial"/>
          <w:sz w:val="24"/>
          <w:szCs w:val="24"/>
        </w:rPr>
        <w:t xml:space="preserve"> de </w:t>
      </w:r>
      <w:r w:rsidR="003A23DD" w:rsidRPr="00DE71D2">
        <w:rPr>
          <w:rFonts w:ascii="Arial" w:hAnsi="Arial" w:cs="Arial"/>
          <w:sz w:val="24"/>
          <w:szCs w:val="24"/>
        </w:rPr>
        <w:t>febrero</w:t>
      </w:r>
      <w:r w:rsidR="00DD161A" w:rsidRPr="00DE71D2">
        <w:rPr>
          <w:rFonts w:ascii="Arial" w:hAnsi="Arial" w:cs="Arial"/>
          <w:sz w:val="24"/>
          <w:szCs w:val="24"/>
        </w:rPr>
        <w:t xml:space="preserve"> </w:t>
      </w:r>
      <w:r w:rsidR="003A07FB" w:rsidRPr="00DE71D2">
        <w:rPr>
          <w:rFonts w:ascii="Arial" w:hAnsi="Arial" w:cs="Arial"/>
          <w:sz w:val="24"/>
          <w:szCs w:val="24"/>
        </w:rPr>
        <w:t>el “Informe Sobre la Situación Económica, las Finanzas Públicas y la Deu</w:t>
      </w:r>
      <w:r w:rsidR="000269C0" w:rsidRPr="00DE71D2">
        <w:rPr>
          <w:rFonts w:ascii="Arial" w:hAnsi="Arial" w:cs="Arial"/>
          <w:sz w:val="24"/>
          <w:szCs w:val="24"/>
        </w:rPr>
        <w:t xml:space="preserve">da Pública en relación al </w:t>
      </w:r>
      <w:r w:rsidR="003A07FB" w:rsidRPr="00DE71D2">
        <w:rPr>
          <w:rFonts w:ascii="Arial" w:hAnsi="Arial" w:cs="Arial"/>
          <w:sz w:val="24"/>
          <w:szCs w:val="24"/>
        </w:rPr>
        <w:t xml:space="preserve">Cuarto Trimestre de 2018. </w:t>
      </w:r>
    </w:p>
    <w:p w:rsidR="003A07FB" w:rsidRPr="00DE71D2" w:rsidRDefault="003A07FB" w:rsidP="00B92BA8">
      <w:pPr>
        <w:spacing w:line="276" w:lineRule="auto"/>
        <w:jc w:val="both"/>
        <w:rPr>
          <w:rFonts w:ascii="Arial" w:hAnsi="Arial" w:cs="Arial"/>
          <w:sz w:val="24"/>
          <w:szCs w:val="24"/>
        </w:rPr>
      </w:pPr>
      <w:r w:rsidRPr="00DE71D2">
        <w:rPr>
          <w:rFonts w:ascii="Arial" w:hAnsi="Arial" w:cs="Arial"/>
          <w:sz w:val="24"/>
          <w:szCs w:val="24"/>
        </w:rPr>
        <w:t xml:space="preserve">Derivado de ello, la </w:t>
      </w:r>
      <w:r w:rsidRPr="00DE71D2">
        <w:rPr>
          <w:rFonts w:ascii="Arial" w:hAnsi="Arial" w:cs="Arial"/>
          <w:i/>
          <w:sz w:val="24"/>
          <w:szCs w:val="24"/>
        </w:rPr>
        <w:t>Comisión Asuntos Frontera Sur</w:t>
      </w:r>
      <w:r w:rsidRPr="00DE71D2">
        <w:rPr>
          <w:rFonts w:ascii="Arial" w:hAnsi="Arial" w:cs="Arial"/>
          <w:sz w:val="24"/>
          <w:szCs w:val="24"/>
        </w:rPr>
        <w:t>, tiene por objeto analizar el informe y presentar una opinión consecuente, que integra el presente doc</w:t>
      </w:r>
      <w:r w:rsidR="000269C0" w:rsidRPr="00DE71D2">
        <w:rPr>
          <w:rFonts w:ascii="Arial" w:hAnsi="Arial" w:cs="Arial"/>
          <w:sz w:val="24"/>
          <w:szCs w:val="24"/>
        </w:rPr>
        <w:t>umento, a fin de dar a conocer de</w:t>
      </w:r>
      <w:r w:rsidRPr="00DE71D2">
        <w:rPr>
          <w:rFonts w:ascii="Arial" w:hAnsi="Arial" w:cs="Arial"/>
          <w:sz w:val="24"/>
          <w:szCs w:val="24"/>
        </w:rPr>
        <w:t xml:space="preserve"> forma objetiva e imparcial, lo señalado por SHCP sobre el comportamiento de las finanzas públicas y la deuda pública </w:t>
      </w:r>
      <w:r w:rsidR="000269C0" w:rsidRPr="00DE71D2">
        <w:rPr>
          <w:rFonts w:ascii="Arial" w:hAnsi="Arial" w:cs="Arial"/>
          <w:sz w:val="24"/>
          <w:szCs w:val="24"/>
        </w:rPr>
        <w:t>que se registró durante el</w:t>
      </w:r>
      <w:r w:rsidRPr="00DE71D2">
        <w:rPr>
          <w:rFonts w:ascii="Arial" w:hAnsi="Arial" w:cs="Arial"/>
          <w:sz w:val="24"/>
          <w:szCs w:val="24"/>
        </w:rPr>
        <w:t xml:space="preserve"> cuarto trimestre del 2018. </w:t>
      </w:r>
    </w:p>
    <w:p w:rsidR="003A07FB" w:rsidRPr="00DE71D2" w:rsidRDefault="003A07FB" w:rsidP="00B92BA8">
      <w:pPr>
        <w:spacing w:line="276" w:lineRule="auto"/>
        <w:jc w:val="both"/>
        <w:rPr>
          <w:rFonts w:ascii="Arial" w:hAnsi="Arial" w:cs="Arial"/>
          <w:sz w:val="24"/>
          <w:szCs w:val="24"/>
        </w:rPr>
      </w:pPr>
      <w:r w:rsidRPr="00DE71D2">
        <w:rPr>
          <w:rFonts w:ascii="Arial" w:hAnsi="Arial" w:cs="Arial"/>
          <w:sz w:val="24"/>
          <w:szCs w:val="24"/>
        </w:rPr>
        <w:t xml:space="preserve">El documento se divide </w:t>
      </w:r>
      <w:r w:rsidR="000269C0" w:rsidRPr="00DE71D2">
        <w:rPr>
          <w:rFonts w:ascii="Arial" w:hAnsi="Arial" w:cs="Arial"/>
          <w:sz w:val="24"/>
          <w:szCs w:val="24"/>
        </w:rPr>
        <w:t xml:space="preserve">en </w:t>
      </w:r>
      <w:r w:rsidR="00DD161A" w:rsidRPr="00DE71D2">
        <w:rPr>
          <w:rFonts w:ascii="Arial" w:hAnsi="Arial" w:cs="Arial"/>
          <w:sz w:val="24"/>
          <w:szCs w:val="24"/>
        </w:rPr>
        <w:t xml:space="preserve">diversos apartados: el primero incluye un resumen </w:t>
      </w:r>
      <w:r w:rsidR="000E5591" w:rsidRPr="00DE71D2">
        <w:rPr>
          <w:rFonts w:ascii="Arial" w:hAnsi="Arial" w:cs="Arial"/>
          <w:sz w:val="24"/>
          <w:szCs w:val="24"/>
        </w:rPr>
        <w:t>ejecutivo</w:t>
      </w:r>
      <w:r w:rsidR="00DD161A" w:rsidRPr="00DE71D2">
        <w:rPr>
          <w:rFonts w:ascii="Arial" w:hAnsi="Arial" w:cs="Arial"/>
          <w:sz w:val="24"/>
          <w:szCs w:val="24"/>
        </w:rPr>
        <w:t xml:space="preserve"> que aborda los principales resultados en materia de economía, finanzas públicas y </w:t>
      </w:r>
      <w:r w:rsidR="000E5591" w:rsidRPr="00DE71D2">
        <w:rPr>
          <w:rFonts w:ascii="Arial" w:hAnsi="Arial" w:cs="Arial"/>
          <w:sz w:val="24"/>
          <w:szCs w:val="24"/>
        </w:rPr>
        <w:t>deuda</w:t>
      </w:r>
      <w:r w:rsidR="00DD161A" w:rsidRPr="00DE71D2">
        <w:rPr>
          <w:rFonts w:ascii="Arial" w:hAnsi="Arial" w:cs="Arial"/>
          <w:sz w:val="24"/>
          <w:szCs w:val="24"/>
        </w:rPr>
        <w:t xml:space="preserve"> pública</w:t>
      </w:r>
      <w:r w:rsidR="003A23DD" w:rsidRPr="00DE71D2">
        <w:rPr>
          <w:rFonts w:ascii="Arial" w:hAnsi="Arial" w:cs="Arial"/>
          <w:sz w:val="24"/>
          <w:szCs w:val="24"/>
        </w:rPr>
        <w:t xml:space="preserve">, el segundo contempla los principales resultados de la situación financiera del sector público, reflejada en su balance; el tercero ofrece una revisión del comportamiento de la captación de ingresos presupuestarios; enseguida, el cuarto destaca la situación del gasto neto presupuestario; en tanto que el quinto y el último, presenta el análisis sobre el saldo de los diversos componentes de la deuda pública. </w:t>
      </w:r>
    </w:p>
    <w:p w:rsidR="00D44B9C" w:rsidRPr="00DE71D2" w:rsidRDefault="00D44B9C" w:rsidP="00B92BA8">
      <w:pPr>
        <w:spacing w:line="276" w:lineRule="auto"/>
        <w:jc w:val="both"/>
        <w:rPr>
          <w:rFonts w:ascii="Arial" w:hAnsi="Arial" w:cs="Arial"/>
          <w:sz w:val="24"/>
          <w:szCs w:val="24"/>
        </w:rPr>
      </w:pPr>
    </w:p>
    <w:p w:rsidR="00D44B9C" w:rsidRPr="00DE71D2" w:rsidRDefault="00D44B9C" w:rsidP="00B92BA8">
      <w:pPr>
        <w:spacing w:line="276" w:lineRule="auto"/>
        <w:jc w:val="both"/>
        <w:rPr>
          <w:rFonts w:ascii="Arial" w:hAnsi="Arial" w:cs="Arial"/>
          <w:sz w:val="24"/>
          <w:szCs w:val="24"/>
        </w:rPr>
      </w:pPr>
    </w:p>
    <w:p w:rsidR="00D44B9C" w:rsidRPr="00DE71D2" w:rsidRDefault="00D44B9C" w:rsidP="00B92BA8">
      <w:pPr>
        <w:spacing w:line="276" w:lineRule="auto"/>
        <w:jc w:val="both"/>
        <w:rPr>
          <w:rFonts w:ascii="Arial" w:hAnsi="Arial" w:cs="Arial"/>
          <w:sz w:val="24"/>
          <w:szCs w:val="24"/>
        </w:rPr>
      </w:pPr>
    </w:p>
    <w:p w:rsidR="00DE71D2" w:rsidRPr="00DE71D2" w:rsidRDefault="00DE71D2" w:rsidP="00B92BA8">
      <w:pPr>
        <w:spacing w:line="276" w:lineRule="auto"/>
        <w:jc w:val="both"/>
        <w:rPr>
          <w:rFonts w:ascii="Arial" w:hAnsi="Arial" w:cs="Arial"/>
          <w:sz w:val="24"/>
          <w:szCs w:val="24"/>
        </w:rPr>
      </w:pPr>
    </w:p>
    <w:p w:rsidR="003A23DD" w:rsidRPr="00DE71D2" w:rsidRDefault="003A23DD" w:rsidP="000269C0">
      <w:pPr>
        <w:spacing w:line="360" w:lineRule="auto"/>
        <w:jc w:val="center"/>
        <w:rPr>
          <w:rFonts w:ascii="Arial" w:hAnsi="Arial" w:cs="Arial"/>
          <w:b/>
          <w:sz w:val="24"/>
          <w:szCs w:val="24"/>
        </w:rPr>
      </w:pPr>
      <w:r w:rsidRPr="00DE71D2">
        <w:rPr>
          <w:rFonts w:ascii="Arial" w:hAnsi="Arial" w:cs="Arial"/>
          <w:b/>
          <w:sz w:val="24"/>
          <w:szCs w:val="24"/>
        </w:rPr>
        <w:lastRenderedPageBreak/>
        <w:t>Opinión de l</w:t>
      </w:r>
      <w:r w:rsidR="00DE71D2" w:rsidRPr="00DE71D2">
        <w:rPr>
          <w:rFonts w:ascii="Arial" w:hAnsi="Arial" w:cs="Arial"/>
          <w:b/>
          <w:sz w:val="24"/>
          <w:szCs w:val="24"/>
        </w:rPr>
        <w:t>a Comisión Asuntos Frontera Sur.</w:t>
      </w:r>
    </w:p>
    <w:p w:rsidR="00B92BA8" w:rsidRPr="00DE71D2" w:rsidRDefault="009F0AFA" w:rsidP="00B92BA8">
      <w:pPr>
        <w:spacing w:line="276" w:lineRule="auto"/>
        <w:jc w:val="both"/>
        <w:rPr>
          <w:rFonts w:ascii="Arial" w:hAnsi="Arial" w:cs="Arial"/>
          <w:sz w:val="24"/>
          <w:szCs w:val="24"/>
        </w:rPr>
      </w:pPr>
      <w:r w:rsidRPr="00DE71D2">
        <w:rPr>
          <w:rFonts w:ascii="Arial" w:hAnsi="Arial" w:cs="Arial"/>
          <w:sz w:val="24"/>
          <w:szCs w:val="24"/>
        </w:rPr>
        <w:t>Durante el último trimestre de 2018, la economía global continuó expandiéndose.</w:t>
      </w:r>
      <w:r w:rsidR="00B92BA8" w:rsidRPr="00DE71D2">
        <w:rPr>
          <w:rFonts w:ascii="Arial" w:hAnsi="Arial" w:cs="Arial"/>
          <w:sz w:val="24"/>
          <w:szCs w:val="24"/>
        </w:rPr>
        <w:br/>
        <w:t xml:space="preserve">Al cierre del 2018 la inflación general registro una disminución respecto a los niveles que se observaron a finales del 2017, como resultado de reducciones tanto en la inflación subyacente como en la no subyacente. </w:t>
      </w:r>
    </w:p>
    <w:p w:rsidR="00B92BA8" w:rsidRPr="00DE71D2" w:rsidRDefault="00B92BA8" w:rsidP="00B92BA8">
      <w:pPr>
        <w:spacing w:line="276" w:lineRule="auto"/>
        <w:jc w:val="both"/>
        <w:rPr>
          <w:rFonts w:ascii="Arial" w:hAnsi="Arial" w:cs="Arial"/>
          <w:sz w:val="24"/>
          <w:szCs w:val="24"/>
        </w:rPr>
      </w:pPr>
      <w:r w:rsidRPr="00DE71D2">
        <w:rPr>
          <w:rFonts w:ascii="Arial" w:hAnsi="Arial" w:cs="Arial"/>
          <w:sz w:val="24"/>
          <w:szCs w:val="24"/>
        </w:rPr>
        <w:t>La actividad económica mexicana en cuanto a la parte de producción tenemos que, en el tercer trimestre de 2018, el PIB registró un crecimiento anual de 2.5 por ciento real. Excluyendo el efecto estacional, el crecimiento del PIB a tasa anual es de 2.6 por ciento y de 0.8 por ciento con respecto al trimestre anterior. Si consideramos la estimación que es proporcionada por el INEGI del cuarto trimestre de 2018, se proyecta que el PIB logre un crecimiento anual de 1.8 por ciento real y un 1.9 por ciento al excluir los efectos estacionales y un crecimiento trimestral de 0.3 por ciento.</w:t>
      </w:r>
    </w:p>
    <w:p w:rsidR="00B92BA8" w:rsidRPr="00DE71D2" w:rsidRDefault="00B92BA8" w:rsidP="00B92BA8">
      <w:pPr>
        <w:spacing w:line="276" w:lineRule="auto"/>
        <w:jc w:val="both"/>
        <w:rPr>
          <w:rFonts w:ascii="Arial" w:hAnsi="Arial" w:cs="Arial"/>
          <w:sz w:val="24"/>
          <w:szCs w:val="24"/>
        </w:rPr>
      </w:pPr>
      <w:r w:rsidRPr="00DE71D2">
        <w:rPr>
          <w:rFonts w:ascii="Arial" w:hAnsi="Arial" w:cs="Arial"/>
          <w:sz w:val="24"/>
          <w:szCs w:val="24"/>
        </w:rPr>
        <w:t>Para el tercer trimestre de 2018, considerando las cifras ajustadas por estacionalidad al interior del PIB, se pueden apreciar los siguientes resultados por sector de actividad económica:</w:t>
      </w:r>
    </w:p>
    <w:p w:rsidR="00B92BA8" w:rsidRPr="00DE71D2" w:rsidRDefault="00B92BA8" w:rsidP="00B92BA8">
      <w:pPr>
        <w:pStyle w:val="Prrafodelista"/>
        <w:numPr>
          <w:ilvl w:val="0"/>
          <w:numId w:val="2"/>
        </w:numPr>
        <w:spacing w:line="276" w:lineRule="auto"/>
        <w:jc w:val="both"/>
        <w:rPr>
          <w:rFonts w:ascii="Arial" w:hAnsi="Arial" w:cs="Arial"/>
          <w:sz w:val="24"/>
          <w:szCs w:val="24"/>
        </w:rPr>
      </w:pPr>
      <w:r w:rsidRPr="00DE71D2">
        <w:rPr>
          <w:rFonts w:ascii="Arial" w:hAnsi="Arial" w:cs="Arial"/>
          <w:sz w:val="24"/>
          <w:szCs w:val="24"/>
        </w:rPr>
        <w:t>Se registró un crecimiento trimestral de las actividades primarias de 0.4%</w:t>
      </w:r>
    </w:p>
    <w:p w:rsidR="00B92BA8" w:rsidRPr="00DE71D2" w:rsidRDefault="00B92BA8" w:rsidP="00B92BA8">
      <w:pPr>
        <w:pStyle w:val="Prrafodelista"/>
        <w:numPr>
          <w:ilvl w:val="0"/>
          <w:numId w:val="2"/>
        </w:numPr>
        <w:spacing w:line="276" w:lineRule="auto"/>
        <w:jc w:val="both"/>
        <w:rPr>
          <w:rFonts w:ascii="Arial" w:hAnsi="Arial" w:cs="Arial"/>
          <w:sz w:val="24"/>
          <w:szCs w:val="24"/>
        </w:rPr>
      </w:pPr>
      <w:r w:rsidRPr="00DE71D2">
        <w:rPr>
          <w:rFonts w:ascii="Arial" w:hAnsi="Arial" w:cs="Arial"/>
          <w:sz w:val="24"/>
          <w:szCs w:val="24"/>
        </w:rPr>
        <w:t>En cuanto al sector secundario se registró un mayor dinamismo respecto al trimestre anterior. La producción industrial incremento 0.5% respecto al trimestre previo; los sectores de electricidad y de manufacturas registraron tasas de crecimiento positivas y mayores al trimestre anterior; los sectores de minería y construcción se redujeron, manteniendo la misma debilidad que mostraron desde el segundo trimestre de 2018</w:t>
      </w:r>
    </w:p>
    <w:p w:rsidR="00B92BA8" w:rsidRPr="00DE71D2" w:rsidRDefault="00B92BA8" w:rsidP="00B92BA8">
      <w:pPr>
        <w:pStyle w:val="Prrafodelista"/>
        <w:numPr>
          <w:ilvl w:val="0"/>
          <w:numId w:val="2"/>
        </w:numPr>
        <w:spacing w:line="276" w:lineRule="auto"/>
        <w:jc w:val="both"/>
        <w:rPr>
          <w:rFonts w:ascii="Arial" w:hAnsi="Arial" w:cs="Arial"/>
          <w:sz w:val="24"/>
          <w:szCs w:val="24"/>
        </w:rPr>
      </w:pPr>
      <w:r w:rsidRPr="00DE71D2">
        <w:rPr>
          <w:rFonts w:ascii="Arial" w:hAnsi="Arial" w:cs="Arial"/>
          <w:sz w:val="24"/>
          <w:szCs w:val="24"/>
        </w:rPr>
        <w:t>Por otro lado, todas las actividades del sector terciario registraron tasas de crecimiento positivas durante el trimestre.</w:t>
      </w:r>
    </w:p>
    <w:p w:rsidR="00F52B61" w:rsidRPr="00DE71D2" w:rsidRDefault="00F52B61" w:rsidP="00F52B61">
      <w:pPr>
        <w:spacing w:line="276" w:lineRule="auto"/>
        <w:jc w:val="center"/>
        <w:rPr>
          <w:rFonts w:ascii="Arial" w:hAnsi="Arial" w:cs="Arial"/>
          <w:sz w:val="24"/>
          <w:szCs w:val="24"/>
        </w:rPr>
      </w:pPr>
      <w:r w:rsidRPr="00DE71D2">
        <w:rPr>
          <w:rFonts w:ascii="Arial" w:hAnsi="Arial" w:cs="Arial"/>
          <w:noProof/>
          <w:sz w:val="24"/>
          <w:szCs w:val="24"/>
          <w:lang w:eastAsia="es-MX"/>
        </w:rPr>
        <w:lastRenderedPageBreak/>
        <w:drawing>
          <wp:inline distT="0" distB="0" distL="0" distR="0" wp14:anchorId="14C36F6B" wp14:editId="19731613">
            <wp:extent cx="6227169" cy="69723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01" t="13881" r="30584" b="7061"/>
                    <a:stretch/>
                  </pic:blipFill>
                  <pic:spPr bwMode="auto">
                    <a:xfrm>
                      <a:off x="0" y="0"/>
                      <a:ext cx="6255964" cy="7004540"/>
                    </a:xfrm>
                    <a:prstGeom prst="rect">
                      <a:avLst/>
                    </a:prstGeom>
                    <a:ln>
                      <a:noFill/>
                    </a:ln>
                    <a:extLst>
                      <a:ext uri="{53640926-AAD7-44D8-BBD7-CCE9431645EC}">
                        <a14:shadowObscured xmlns:a14="http://schemas.microsoft.com/office/drawing/2010/main"/>
                      </a:ext>
                    </a:extLst>
                  </pic:spPr>
                </pic:pic>
              </a:graphicData>
            </a:graphic>
          </wp:inline>
        </w:drawing>
      </w:r>
    </w:p>
    <w:p w:rsidR="009F0AFA" w:rsidRPr="00DE71D2" w:rsidRDefault="009F0AFA" w:rsidP="00B92BA8">
      <w:pPr>
        <w:spacing w:line="276" w:lineRule="auto"/>
        <w:jc w:val="both"/>
        <w:rPr>
          <w:rFonts w:ascii="Arial" w:hAnsi="Arial" w:cs="Arial"/>
          <w:sz w:val="24"/>
          <w:szCs w:val="24"/>
        </w:rPr>
      </w:pPr>
      <w:r w:rsidRPr="00DE71D2">
        <w:rPr>
          <w:rFonts w:ascii="Arial" w:hAnsi="Arial" w:cs="Arial"/>
          <w:sz w:val="24"/>
          <w:szCs w:val="24"/>
        </w:rPr>
        <w:t xml:space="preserve"> No obstante, se acentuaron las señales de desaceleración en la actividad económica, lo que ha disminuido las perspectivas del ritmo de crecimiento global para 2019. El Fondo Monetario Internacional (FMI), en su actualización de enero del reporte de Perspectivas de la Economía Mundial, mantuvo el crecimiento mundial de 2018 en 3.7 por ciento, a pesar de un crecimiento más débil en Asia y Europa. </w:t>
      </w:r>
      <w:r w:rsidRPr="00DE71D2">
        <w:rPr>
          <w:rFonts w:ascii="Arial" w:hAnsi="Arial" w:cs="Arial"/>
          <w:sz w:val="24"/>
          <w:szCs w:val="24"/>
        </w:rPr>
        <w:lastRenderedPageBreak/>
        <w:t xml:space="preserve">No obstante, sus proyecciones para 2019 fueron revisadas a la baja de 3.7 a 3.5 por ciento. Adicionalmente, el FMI destacó que el balance de riesgos para el crecimiento global se encuentra sesgado a la baja debido, principalmente, a que continúan las disputas comerciales entre Estados Unidos y China, la mayoría de las economías han alcanzado altos niveles de endeudamiento, y la posibilidad de que las condiciones financieras internacionales se tornen más restrictivas. </w:t>
      </w:r>
    </w:p>
    <w:p w:rsidR="009F0AFA" w:rsidRPr="00DE71D2" w:rsidRDefault="00BB0EC9" w:rsidP="00B92BA8">
      <w:pPr>
        <w:spacing w:line="276" w:lineRule="auto"/>
        <w:jc w:val="both"/>
        <w:rPr>
          <w:rFonts w:ascii="Arial" w:hAnsi="Arial" w:cs="Arial"/>
          <w:sz w:val="24"/>
          <w:szCs w:val="24"/>
        </w:rPr>
      </w:pPr>
      <w:r w:rsidRPr="00DE71D2">
        <w:rPr>
          <w:rFonts w:ascii="Arial" w:hAnsi="Arial" w:cs="Arial"/>
          <w:sz w:val="24"/>
          <w:szCs w:val="24"/>
        </w:rPr>
        <w:t>México</w:t>
      </w:r>
      <w:r w:rsidR="00B00466" w:rsidRPr="00DE71D2">
        <w:rPr>
          <w:rFonts w:ascii="Arial" w:hAnsi="Arial" w:cs="Arial"/>
          <w:sz w:val="24"/>
          <w:szCs w:val="24"/>
        </w:rPr>
        <w:t xml:space="preserve"> en el año 2018 se encontró con una perdi</w:t>
      </w:r>
      <w:r w:rsidR="009F0AFA" w:rsidRPr="00DE71D2">
        <w:rPr>
          <w:rFonts w:ascii="Arial" w:hAnsi="Arial" w:cs="Arial"/>
          <w:sz w:val="24"/>
          <w:szCs w:val="24"/>
        </w:rPr>
        <w:t xml:space="preserve">da general de poder adquisitivo, </w:t>
      </w:r>
      <w:r w:rsidR="00B00466" w:rsidRPr="00DE71D2">
        <w:rPr>
          <w:rFonts w:ascii="Arial" w:hAnsi="Arial" w:cs="Arial"/>
          <w:sz w:val="24"/>
          <w:szCs w:val="24"/>
        </w:rPr>
        <w:t>como parte de las políticas apl</w:t>
      </w:r>
      <w:r w:rsidR="009F0AFA" w:rsidRPr="00DE71D2">
        <w:rPr>
          <w:rFonts w:ascii="Arial" w:hAnsi="Arial" w:cs="Arial"/>
          <w:sz w:val="24"/>
          <w:szCs w:val="24"/>
        </w:rPr>
        <w:t>icadas por el gobierno anterior.</w:t>
      </w:r>
    </w:p>
    <w:p w:rsidR="00B00466" w:rsidRPr="00DE71D2" w:rsidRDefault="009F0AFA" w:rsidP="00B92BA8">
      <w:pPr>
        <w:spacing w:line="276" w:lineRule="auto"/>
        <w:jc w:val="both"/>
        <w:rPr>
          <w:rFonts w:ascii="Arial" w:hAnsi="Arial" w:cs="Arial"/>
          <w:sz w:val="24"/>
          <w:szCs w:val="24"/>
        </w:rPr>
      </w:pPr>
      <w:r w:rsidRPr="00DE71D2">
        <w:rPr>
          <w:rFonts w:ascii="Arial" w:hAnsi="Arial" w:cs="Arial"/>
          <w:sz w:val="24"/>
          <w:szCs w:val="24"/>
        </w:rPr>
        <w:t>En este cuarto trimestre del 2018 se reflejan cambios verdaderamente importantes,</w:t>
      </w:r>
      <w:r w:rsidR="00B00466" w:rsidRPr="00DE71D2">
        <w:rPr>
          <w:rFonts w:ascii="Arial" w:hAnsi="Arial" w:cs="Arial"/>
          <w:sz w:val="24"/>
          <w:szCs w:val="24"/>
        </w:rPr>
        <w:t xml:space="preserve"> uno de ellos es el tipo de cambio que se ve en gran medida afectado por la situación económica internacional y los movimientos internos. </w:t>
      </w:r>
    </w:p>
    <w:p w:rsidR="00B92BA8" w:rsidRPr="00DE71D2" w:rsidRDefault="00B92BA8" w:rsidP="00B92BA8">
      <w:pPr>
        <w:spacing w:line="276" w:lineRule="auto"/>
        <w:jc w:val="both"/>
        <w:rPr>
          <w:rFonts w:ascii="Arial" w:hAnsi="Arial" w:cs="Arial"/>
          <w:sz w:val="24"/>
          <w:szCs w:val="24"/>
        </w:rPr>
      </w:pPr>
      <w:r w:rsidRPr="00DE71D2">
        <w:rPr>
          <w:rFonts w:ascii="Arial" w:hAnsi="Arial" w:cs="Arial"/>
          <w:sz w:val="24"/>
          <w:szCs w:val="24"/>
        </w:rPr>
        <w:t xml:space="preserve">Al cierre del cuarto trimestre de 2018, la base monetaria de ubico en 1,674 miles de millones de pesos, lo que implicó un incremento de 8.7% en términos reales respecto al cierre del trimestre previo. </w:t>
      </w:r>
    </w:p>
    <w:p w:rsidR="009F0AFA" w:rsidRPr="00DE71D2" w:rsidRDefault="00B00466" w:rsidP="00B92BA8">
      <w:pPr>
        <w:spacing w:line="276" w:lineRule="auto"/>
        <w:jc w:val="both"/>
        <w:rPr>
          <w:rFonts w:ascii="Arial" w:hAnsi="Arial" w:cs="Arial"/>
          <w:sz w:val="24"/>
          <w:szCs w:val="24"/>
        </w:rPr>
      </w:pPr>
      <w:r w:rsidRPr="00DE71D2">
        <w:rPr>
          <w:rFonts w:ascii="Arial" w:hAnsi="Arial" w:cs="Arial"/>
          <w:sz w:val="24"/>
          <w:szCs w:val="24"/>
        </w:rPr>
        <w:t xml:space="preserve">A partir de la elección presidencial </w:t>
      </w:r>
      <w:r w:rsidR="009F0AFA" w:rsidRPr="00DE71D2">
        <w:rPr>
          <w:rFonts w:ascii="Arial" w:hAnsi="Arial" w:cs="Arial"/>
          <w:sz w:val="24"/>
          <w:szCs w:val="24"/>
        </w:rPr>
        <w:t>del</w:t>
      </w:r>
      <w:r w:rsidRPr="00DE71D2">
        <w:rPr>
          <w:rFonts w:ascii="Arial" w:hAnsi="Arial" w:cs="Arial"/>
          <w:sz w:val="24"/>
          <w:szCs w:val="24"/>
        </w:rPr>
        <w:t xml:space="preserve"> 2018 la especulación hacia </w:t>
      </w:r>
      <w:r w:rsidR="00BB0EC9" w:rsidRPr="00DE71D2">
        <w:rPr>
          <w:rFonts w:ascii="Arial" w:hAnsi="Arial" w:cs="Arial"/>
          <w:sz w:val="24"/>
          <w:szCs w:val="24"/>
        </w:rPr>
        <w:t>México</w:t>
      </w:r>
      <w:r w:rsidRPr="00DE71D2">
        <w:rPr>
          <w:rFonts w:ascii="Arial" w:hAnsi="Arial" w:cs="Arial"/>
          <w:sz w:val="24"/>
          <w:szCs w:val="24"/>
        </w:rPr>
        <w:t xml:space="preserve"> se hizo en gran medida por las políticas que </w:t>
      </w:r>
      <w:r w:rsidR="00BB0EC9" w:rsidRPr="00DE71D2">
        <w:rPr>
          <w:rFonts w:ascii="Arial" w:hAnsi="Arial" w:cs="Arial"/>
          <w:sz w:val="24"/>
          <w:szCs w:val="24"/>
        </w:rPr>
        <w:t>establecía</w:t>
      </w:r>
      <w:r w:rsidR="009F0AFA" w:rsidRPr="00DE71D2">
        <w:rPr>
          <w:rFonts w:ascii="Arial" w:hAnsi="Arial" w:cs="Arial"/>
          <w:sz w:val="24"/>
          <w:szCs w:val="24"/>
        </w:rPr>
        <w:t xml:space="preserve"> el gobierno del Licenciado</w:t>
      </w:r>
      <w:r w:rsidRPr="00DE71D2">
        <w:rPr>
          <w:rFonts w:ascii="Arial" w:hAnsi="Arial" w:cs="Arial"/>
          <w:sz w:val="24"/>
          <w:szCs w:val="24"/>
        </w:rPr>
        <w:t xml:space="preserve"> </w:t>
      </w:r>
      <w:r w:rsidR="00BB0EC9" w:rsidRPr="00DE71D2">
        <w:rPr>
          <w:rFonts w:ascii="Arial" w:hAnsi="Arial" w:cs="Arial"/>
          <w:sz w:val="24"/>
          <w:szCs w:val="24"/>
        </w:rPr>
        <w:t>Andrés</w:t>
      </w:r>
      <w:r w:rsidRPr="00DE71D2">
        <w:rPr>
          <w:rFonts w:ascii="Arial" w:hAnsi="Arial" w:cs="Arial"/>
          <w:sz w:val="24"/>
          <w:szCs w:val="24"/>
        </w:rPr>
        <w:t xml:space="preserve"> Manuel </w:t>
      </w:r>
      <w:r w:rsidR="00BB0EC9" w:rsidRPr="00DE71D2">
        <w:rPr>
          <w:rFonts w:ascii="Arial" w:hAnsi="Arial" w:cs="Arial"/>
          <w:sz w:val="24"/>
          <w:szCs w:val="24"/>
        </w:rPr>
        <w:t xml:space="preserve">López Obrador, </w:t>
      </w:r>
      <w:r w:rsidR="009F0AFA" w:rsidRPr="00DE71D2">
        <w:rPr>
          <w:rFonts w:ascii="Arial" w:hAnsi="Arial" w:cs="Arial"/>
          <w:sz w:val="24"/>
          <w:szCs w:val="24"/>
        </w:rPr>
        <w:t>sin embargo,</w:t>
      </w:r>
      <w:r w:rsidR="00BB0EC9" w:rsidRPr="00DE71D2">
        <w:rPr>
          <w:rFonts w:ascii="Arial" w:hAnsi="Arial" w:cs="Arial"/>
          <w:sz w:val="24"/>
          <w:szCs w:val="24"/>
        </w:rPr>
        <w:t xml:space="preserve"> no </w:t>
      </w:r>
      <w:r w:rsidR="009F0AFA" w:rsidRPr="00DE71D2">
        <w:rPr>
          <w:rFonts w:ascii="Arial" w:hAnsi="Arial" w:cs="Arial"/>
          <w:sz w:val="24"/>
          <w:szCs w:val="24"/>
        </w:rPr>
        <w:t>se tuvieron</w:t>
      </w:r>
      <w:r w:rsidR="00BB0EC9" w:rsidRPr="00DE71D2">
        <w:rPr>
          <w:rFonts w:ascii="Arial" w:hAnsi="Arial" w:cs="Arial"/>
          <w:sz w:val="24"/>
          <w:szCs w:val="24"/>
        </w:rPr>
        <w:t xml:space="preserve"> pérdidas importantes gracias a que en países como </w:t>
      </w:r>
      <w:r w:rsidR="009F0AFA" w:rsidRPr="00DE71D2">
        <w:rPr>
          <w:rFonts w:ascii="Arial" w:hAnsi="Arial" w:cs="Arial"/>
          <w:sz w:val="24"/>
          <w:szCs w:val="24"/>
        </w:rPr>
        <w:t>E</w:t>
      </w:r>
      <w:r w:rsidR="00BB0EC9" w:rsidRPr="00DE71D2">
        <w:rPr>
          <w:rFonts w:ascii="Arial" w:hAnsi="Arial" w:cs="Arial"/>
          <w:sz w:val="24"/>
          <w:szCs w:val="24"/>
        </w:rPr>
        <w:t xml:space="preserve">stados </w:t>
      </w:r>
      <w:r w:rsidR="009F0AFA" w:rsidRPr="00DE71D2">
        <w:rPr>
          <w:rFonts w:ascii="Arial" w:hAnsi="Arial" w:cs="Arial"/>
          <w:sz w:val="24"/>
          <w:szCs w:val="24"/>
        </w:rPr>
        <w:t>U</w:t>
      </w:r>
      <w:r w:rsidR="00BB0EC9" w:rsidRPr="00DE71D2">
        <w:rPr>
          <w:rFonts w:ascii="Arial" w:hAnsi="Arial" w:cs="Arial"/>
          <w:sz w:val="24"/>
          <w:szCs w:val="24"/>
        </w:rPr>
        <w:t>nidos</w:t>
      </w:r>
      <w:r w:rsidR="009F0AFA" w:rsidRPr="00DE71D2">
        <w:rPr>
          <w:rFonts w:ascii="Arial" w:hAnsi="Arial" w:cs="Arial"/>
          <w:sz w:val="24"/>
          <w:szCs w:val="24"/>
        </w:rPr>
        <w:t xml:space="preserve"> dentro de su producción industrial continuo mostrando un crecimiento </w:t>
      </w:r>
      <w:r w:rsidR="004D53DE" w:rsidRPr="00DE71D2">
        <w:rPr>
          <w:rFonts w:ascii="Arial" w:hAnsi="Arial" w:cs="Arial"/>
          <w:sz w:val="24"/>
          <w:szCs w:val="24"/>
        </w:rPr>
        <w:t>sólido</w:t>
      </w:r>
      <w:r w:rsidR="009F0AFA" w:rsidRPr="00DE71D2">
        <w:rPr>
          <w:rFonts w:ascii="Arial" w:hAnsi="Arial" w:cs="Arial"/>
          <w:sz w:val="24"/>
          <w:szCs w:val="24"/>
        </w:rPr>
        <w:t xml:space="preserve"> durante este cuarto trimestre, no obstante también se </w:t>
      </w:r>
      <w:r w:rsidR="004D53DE" w:rsidRPr="00DE71D2">
        <w:rPr>
          <w:rFonts w:ascii="Arial" w:hAnsi="Arial" w:cs="Arial"/>
          <w:sz w:val="24"/>
          <w:szCs w:val="24"/>
        </w:rPr>
        <w:t>mostró</w:t>
      </w:r>
      <w:r w:rsidR="009F0AFA" w:rsidRPr="00DE71D2">
        <w:rPr>
          <w:rFonts w:ascii="Arial" w:hAnsi="Arial" w:cs="Arial"/>
          <w:sz w:val="24"/>
          <w:szCs w:val="24"/>
        </w:rPr>
        <w:t xml:space="preserve"> una desaceleración </w:t>
      </w:r>
      <w:r w:rsidR="004D53DE" w:rsidRPr="00DE71D2">
        <w:rPr>
          <w:rFonts w:ascii="Arial" w:hAnsi="Arial" w:cs="Arial"/>
          <w:sz w:val="24"/>
          <w:szCs w:val="24"/>
        </w:rPr>
        <w:t xml:space="preserve">derivada de la caída en la producción industrial del sector manufacturero, de igual forma dentro de su congreso se tuvo como resultado de las diferencias el detenimiento de las políticas fiscales, y en Europa en cuestión de la desestabilidad ante el refrendo del </w:t>
      </w:r>
      <w:proofErr w:type="spellStart"/>
      <w:r w:rsidR="004D53DE" w:rsidRPr="00DE71D2">
        <w:rPr>
          <w:rFonts w:ascii="Arial" w:hAnsi="Arial" w:cs="Arial"/>
          <w:sz w:val="24"/>
          <w:szCs w:val="24"/>
        </w:rPr>
        <w:t>brexis</w:t>
      </w:r>
      <w:proofErr w:type="spellEnd"/>
      <w:r w:rsidR="004D53DE" w:rsidRPr="00DE71D2">
        <w:rPr>
          <w:rFonts w:ascii="Arial" w:hAnsi="Arial" w:cs="Arial"/>
          <w:sz w:val="24"/>
          <w:szCs w:val="24"/>
        </w:rPr>
        <w:t xml:space="preserve"> mantuvo una especulación constante que ayudo a México en su proceso de transición de poder. </w:t>
      </w:r>
    </w:p>
    <w:p w:rsidR="00BB0EC9" w:rsidRPr="00DE71D2" w:rsidRDefault="00BB0EC9" w:rsidP="00B92BA8">
      <w:pPr>
        <w:spacing w:line="276" w:lineRule="auto"/>
        <w:jc w:val="both"/>
        <w:rPr>
          <w:rFonts w:ascii="Arial" w:hAnsi="Arial" w:cs="Arial"/>
          <w:sz w:val="24"/>
          <w:szCs w:val="24"/>
        </w:rPr>
      </w:pPr>
      <w:r w:rsidRPr="00DE71D2">
        <w:rPr>
          <w:rFonts w:ascii="Arial" w:hAnsi="Arial" w:cs="Arial"/>
          <w:sz w:val="24"/>
          <w:szCs w:val="24"/>
        </w:rPr>
        <w:t xml:space="preserve">Para hablar en temas generales la economía mexicana </w:t>
      </w:r>
      <w:r w:rsidR="004D53DE" w:rsidRPr="00DE71D2">
        <w:rPr>
          <w:rFonts w:ascii="Arial" w:hAnsi="Arial" w:cs="Arial"/>
          <w:sz w:val="24"/>
          <w:szCs w:val="24"/>
        </w:rPr>
        <w:t xml:space="preserve">tiene tres aspectos principales; </w:t>
      </w:r>
      <w:r w:rsidRPr="00DE71D2">
        <w:rPr>
          <w:rFonts w:ascii="Arial" w:hAnsi="Arial" w:cs="Arial"/>
          <w:sz w:val="24"/>
          <w:szCs w:val="24"/>
        </w:rPr>
        <w:t xml:space="preserve">el primero de ellos es que el tema petrolero le afecta </w:t>
      </w:r>
      <w:r w:rsidR="004D53DE" w:rsidRPr="00DE71D2">
        <w:rPr>
          <w:rFonts w:ascii="Arial" w:hAnsi="Arial" w:cs="Arial"/>
          <w:sz w:val="24"/>
          <w:szCs w:val="24"/>
        </w:rPr>
        <w:t>en gran medida,</w:t>
      </w:r>
      <w:r w:rsidRPr="00DE71D2">
        <w:rPr>
          <w:rFonts w:ascii="Arial" w:hAnsi="Arial" w:cs="Arial"/>
          <w:sz w:val="24"/>
          <w:szCs w:val="24"/>
        </w:rPr>
        <w:t xml:space="preserve"> ya que desde el 2006 y hasta 2017 aporto cerca del 37% de los ingresos del sector público del país </w:t>
      </w:r>
      <w:r w:rsidR="004D53DE" w:rsidRPr="00DE71D2">
        <w:rPr>
          <w:rFonts w:ascii="Arial" w:hAnsi="Arial" w:cs="Arial"/>
          <w:sz w:val="24"/>
          <w:szCs w:val="24"/>
        </w:rPr>
        <w:t>equivalente al</w:t>
      </w:r>
      <w:r w:rsidRPr="00DE71D2">
        <w:rPr>
          <w:rFonts w:ascii="Arial" w:hAnsi="Arial" w:cs="Arial"/>
          <w:sz w:val="24"/>
          <w:szCs w:val="24"/>
        </w:rPr>
        <w:t xml:space="preserve"> casi el 10% del PIB  </w:t>
      </w:r>
    </w:p>
    <w:p w:rsidR="00B729AE" w:rsidRPr="00DE71D2" w:rsidRDefault="00B729AE" w:rsidP="00B92BA8">
      <w:pPr>
        <w:spacing w:line="276" w:lineRule="auto"/>
        <w:jc w:val="both"/>
        <w:rPr>
          <w:rFonts w:ascii="Arial" w:hAnsi="Arial" w:cs="Arial"/>
          <w:sz w:val="24"/>
          <w:szCs w:val="24"/>
        </w:rPr>
      </w:pPr>
      <w:r w:rsidRPr="00DE71D2">
        <w:rPr>
          <w:rFonts w:ascii="Arial" w:hAnsi="Arial" w:cs="Arial"/>
          <w:sz w:val="24"/>
          <w:szCs w:val="24"/>
        </w:rPr>
        <w:t>Estos ingresos provenientes de zonas separadas como zona norte, z</w:t>
      </w:r>
      <w:r w:rsidR="00100A80" w:rsidRPr="00DE71D2">
        <w:rPr>
          <w:rFonts w:ascii="Arial" w:hAnsi="Arial" w:cs="Arial"/>
          <w:sz w:val="24"/>
          <w:szCs w:val="24"/>
        </w:rPr>
        <w:t>o</w:t>
      </w:r>
      <w:r w:rsidRPr="00DE71D2">
        <w:rPr>
          <w:rFonts w:ascii="Arial" w:hAnsi="Arial" w:cs="Arial"/>
          <w:sz w:val="24"/>
          <w:szCs w:val="24"/>
        </w:rPr>
        <w:t>na centro y zona sur.</w:t>
      </w:r>
    </w:p>
    <w:p w:rsidR="004D53DE" w:rsidRPr="00DE71D2" w:rsidRDefault="004D53DE" w:rsidP="00B92BA8">
      <w:pPr>
        <w:spacing w:line="276" w:lineRule="auto"/>
        <w:jc w:val="both"/>
        <w:rPr>
          <w:rFonts w:ascii="Arial" w:hAnsi="Arial" w:cs="Arial"/>
          <w:sz w:val="24"/>
          <w:szCs w:val="24"/>
        </w:rPr>
      </w:pPr>
      <w:r w:rsidRPr="00DE71D2">
        <w:rPr>
          <w:rFonts w:ascii="Arial" w:hAnsi="Arial" w:cs="Arial"/>
          <w:sz w:val="24"/>
          <w:szCs w:val="24"/>
        </w:rPr>
        <w:t>Referente a l</w:t>
      </w:r>
      <w:r w:rsidR="00B729AE" w:rsidRPr="00DE71D2">
        <w:rPr>
          <w:rFonts w:ascii="Arial" w:hAnsi="Arial" w:cs="Arial"/>
          <w:sz w:val="24"/>
          <w:szCs w:val="24"/>
        </w:rPr>
        <w:t>a zona sur es importante tomar en cuenta dos cosas</w:t>
      </w:r>
      <w:r w:rsidRPr="00DE71D2">
        <w:rPr>
          <w:rFonts w:ascii="Arial" w:hAnsi="Arial" w:cs="Arial"/>
          <w:sz w:val="24"/>
          <w:szCs w:val="24"/>
        </w:rPr>
        <w:t>;</w:t>
      </w:r>
      <w:r w:rsidR="00B729AE" w:rsidRPr="00DE71D2">
        <w:rPr>
          <w:rFonts w:ascii="Arial" w:hAnsi="Arial" w:cs="Arial"/>
          <w:sz w:val="24"/>
          <w:szCs w:val="24"/>
        </w:rPr>
        <w:t xml:space="preserve"> en primera el hecho de que en </w:t>
      </w:r>
      <w:r w:rsidR="00100A80" w:rsidRPr="00DE71D2">
        <w:rPr>
          <w:rFonts w:ascii="Arial" w:hAnsi="Arial" w:cs="Arial"/>
          <w:sz w:val="24"/>
          <w:szCs w:val="24"/>
        </w:rPr>
        <w:t>México</w:t>
      </w:r>
      <w:r w:rsidR="00B729AE" w:rsidRPr="00DE71D2">
        <w:rPr>
          <w:rFonts w:ascii="Arial" w:hAnsi="Arial" w:cs="Arial"/>
          <w:sz w:val="24"/>
          <w:szCs w:val="24"/>
        </w:rPr>
        <w:t xml:space="preserve"> la zona sur ha sido siempre </w:t>
      </w:r>
      <w:r w:rsidR="00100A80" w:rsidRPr="00DE71D2">
        <w:rPr>
          <w:rFonts w:ascii="Arial" w:hAnsi="Arial" w:cs="Arial"/>
          <w:sz w:val="24"/>
          <w:szCs w:val="24"/>
        </w:rPr>
        <w:t>proveedora</w:t>
      </w:r>
      <w:r w:rsidR="00B729AE" w:rsidRPr="00DE71D2">
        <w:rPr>
          <w:rFonts w:ascii="Arial" w:hAnsi="Arial" w:cs="Arial"/>
          <w:sz w:val="24"/>
          <w:szCs w:val="24"/>
        </w:rPr>
        <w:t xml:space="preserve"> de materias primas para el resto del país</w:t>
      </w:r>
      <w:r w:rsidRPr="00DE71D2">
        <w:rPr>
          <w:rFonts w:ascii="Arial" w:hAnsi="Arial" w:cs="Arial"/>
          <w:sz w:val="24"/>
          <w:szCs w:val="24"/>
        </w:rPr>
        <w:t>, sabiendo que existen</w:t>
      </w:r>
      <w:r w:rsidR="00B729AE" w:rsidRPr="00DE71D2">
        <w:rPr>
          <w:rFonts w:ascii="Arial" w:hAnsi="Arial" w:cs="Arial"/>
          <w:sz w:val="24"/>
          <w:szCs w:val="24"/>
        </w:rPr>
        <w:t xml:space="preserve"> zonas económicas especiales para diversos fines uno de ellos es el petrolero </w:t>
      </w:r>
      <w:r w:rsidRPr="00DE71D2">
        <w:rPr>
          <w:rFonts w:ascii="Arial" w:hAnsi="Arial" w:cs="Arial"/>
          <w:sz w:val="24"/>
          <w:szCs w:val="24"/>
        </w:rPr>
        <w:t>el cual se encuentra</w:t>
      </w:r>
      <w:r w:rsidR="00B729AE" w:rsidRPr="00DE71D2">
        <w:rPr>
          <w:rFonts w:ascii="Arial" w:hAnsi="Arial" w:cs="Arial"/>
          <w:sz w:val="24"/>
          <w:szCs w:val="24"/>
        </w:rPr>
        <w:t xml:space="preserve"> </w:t>
      </w:r>
      <w:r w:rsidRPr="00DE71D2">
        <w:rPr>
          <w:rFonts w:ascii="Arial" w:hAnsi="Arial" w:cs="Arial"/>
          <w:sz w:val="24"/>
          <w:szCs w:val="24"/>
        </w:rPr>
        <w:t xml:space="preserve">dividido en cuatro distritos. </w:t>
      </w:r>
    </w:p>
    <w:p w:rsidR="00B729AE" w:rsidRPr="00DE71D2" w:rsidRDefault="00B729AE" w:rsidP="00B92BA8">
      <w:pPr>
        <w:spacing w:line="276" w:lineRule="auto"/>
        <w:jc w:val="both"/>
        <w:rPr>
          <w:rFonts w:ascii="Arial" w:hAnsi="Arial" w:cs="Arial"/>
          <w:b/>
          <w:sz w:val="24"/>
          <w:szCs w:val="24"/>
        </w:rPr>
      </w:pPr>
      <w:r w:rsidRPr="00DE71D2">
        <w:rPr>
          <w:rFonts w:ascii="Arial" w:hAnsi="Arial" w:cs="Arial"/>
          <w:b/>
          <w:sz w:val="24"/>
          <w:szCs w:val="24"/>
        </w:rPr>
        <w:t>Zona sur</w:t>
      </w:r>
    </w:p>
    <w:p w:rsidR="00B729AE" w:rsidRPr="00DE71D2" w:rsidRDefault="00B729AE" w:rsidP="00B92BA8">
      <w:pPr>
        <w:pStyle w:val="Prrafodelista"/>
        <w:numPr>
          <w:ilvl w:val="0"/>
          <w:numId w:val="1"/>
        </w:numPr>
        <w:spacing w:after="0" w:line="276" w:lineRule="auto"/>
        <w:jc w:val="both"/>
        <w:rPr>
          <w:rFonts w:ascii="Arial" w:eastAsia="Times New Roman" w:hAnsi="Arial" w:cs="Arial"/>
          <w:sz w:val="24"/>
          <w:szCs w:val="24"/>
          <w:lang w:eastAsia="es-MX"/>
        </w:rPr>
      </w:pPr>
      <w:r w:rsidRPr="00DE71D2">
        <w:rPr>
          <w:rFonts w:ascii="Arial" w:eastAsia="Times New Roman" w:hAnsi="Arial" w:cs="Arial"/>
          <w:sz w:val="24"/>
          <w:szCs w:val="24"/>
          <w:lang w:eastAsia="es-MX"/>
        </w:rPr>
        <w:lastRenderedPageBreak/>
        <w:t>Distrito Agua Dulce</w:t>
      </w:r>
    </w:p>
    <w:p w:rsidR="00B729AE" w:rsidRPr="00DE71D2" w:rsidRDefault="00B729AE" w:rsidP="00B92BA8">
      <w:pPr>
        <w:pStyle w:val="Prrafodelista"/>
        <w:numPr>
          <w:ilvl w:val="0"/>
          <w:numId w:val="1"/>
        </w:numPr>
        <w:spacing w:after="0" w:line="276" w:lineRule="auto"/>
        <w:jc w:val="both"/>
        <w:rPr>
          <w:rFonts w:ascii="Arial" w:eastAsia="Times New Roman" w:hAnsi="Arial" w:cs="Arial"/>
          <w:sz w:val="24"/>
          <w:szCs w:val="24"/>
          <w:lang w:eastAsia="es-MX"/>
        </w:rPr>
      </w:pPr>
      <w:r w:rsidRPr="00DE71D2">
        <w:rPr>
          <w:rFonts w:ascii="Arial" w:eastAsia="Times New Roman" w:hAnsi="Arial" w:cs="Arial"/>
          <w:sz w:val="24"/>
          <w:szCs w:val="24"/>
          <w:lang w:eastAsia="es-MX"/>
        </w:rPr>
        <w:t>Distrito Comalcalco</w:t>
      </w:r>
    </w:p>
    <w:p w:rsidR="00B729AE" w:rsidRPr="00DE71D2" w:rsidRDefault="00B729AE" w:rsidP="00B92BA8">
      <w:pPr>
        <w:pStyle w:val="Prrafodelista"/>
        <w:numPr>
          <w:ilvl w:val="0"/>
          <w:numId w:val="1"/>
        </w:numPr>
        <w:spacing w:after="0" w:line="276" w:lineRule="auto"/>
        <w:jc w:val="both"/>
        <w:rPr>
          <w:rFonts w:ascii="Arial" w:eastAsia="Times New Roman" w:hAnsi="Arial" w:cs="Arial"/>
          <w:sz w:val="24"/>
          <w:szCs w:val="24"/>
          <w:lang w:eastAsia="es-MX"/>
        </w:rPr>
      </w:pPr>
      <w:r w:rsidRPr="00DE71D2">
        <w:rPr>
          <w:rFonts w:ascii="Arial" w:eastAsia="Times New Roman" w:hAnsi="Arial" w:cs="Arial"/>
          <w:sz w:val="24"/>
          <w:szCs w:val="24"/>
          <w:lang w:eastAsia="es-MX"/>
        </w:rPr>
        <w:t>Distrito Ciudad Pemex</w:t>
      </w:r>
    </w:p>
    <w:p w:rsidR="00B729AE" w:rsidRPr="00DE71D2" w:rsidRDefault="00B729AE" w:rsidP="00B92BA8">
      <w:pPr>
        <w:pStyle w:val="Prrafodelista"/>
        <w:numPr>
          <w:ilvl w:val="0"/>
          <w:numId w:val="1"/>
        </w:numPr>
        <w:spacing w:after="0" w:line="276" w:lineRule="auto"/>
        <w:jc w:val="both"/>
        <w:rPr>
          <w:rFonts w:ascii="Arial" w:eastAsia="Times New Roman" w:hAnsi="Arial" w:cs="Arial"/>
          <w:sz w:val="24"/>
          <w:szCs w:val="24"/>
          <w:lang w:eastAsia="es-MX"/>
        </w:rPr>
      </w:pPr>
      <w:r w:rsidRPr="00DE71D2">
        <w:rPr>
          <w:rFonts w:ascii="Arial" w:eastAsia="Times New Roman" w:hAnsi="Arial" w:cs="Arial"/>
          <w:sz w:val="24"/>
          <w:szCs w:val="24"/>
          <w:lang w:eastAsia="es-MX"/>
        </w:rPr>
        <w:t xml:space="preserve">Distrito El Plan Distrito Nanchital </w:t>
      </w:r>
    </w:p>
    <w:p w:rsidR="00E34E38" w:rsidRPr="00DE71D2" w:rsidRDefault="00E34E38" w:rsidP="00B92BA8">
      <w:pPr>
        <w:spacing w:line="276" w:lineRule="auto"/>
        <w:jc w:val="both"/>
        <w:rPr>
          <w:rFonts w:ascii="Arial" w:hAnsi="Arial" w:cs="Arial"/>
          <w:sz w:val="24"/>
          <w:szCs w:val="24"/>
        </w:rPr>
      </w:pPr>
    </w:p>
    <w:p w:rsidR="00E34E38" w:rsidRPr="00DE71D2" w:rsidRDefault="004D53DE" w:rsidP="00B92BA8">
      <w:pPr>
        <w:spacing w:line="276" w:lineRule="auto"/>
        <w:jc w:val="both"/>
        <w:rPr>
          <w:rFonts w:ascii="Arial" w:hAnsi="Arial" w:cs="Arial"/>
          <w:sz w:val="24"/>
          <w:szCs w:val="24"/>
        </w:rPr>
      </w:pPr>
      <w:r w:rsidRPr="00DE71D2">
        <w:rPr>
          <w:rFonts w:ascii="Arial" w:hAnsi="Arial" w:cs="Arial"/>
          <w:sz w:val="24"/>
          <w:szCs w:val="24"/>
        </w:rPr>
        <w:t xml:space="preserve">El sector petróleo al </w:t>
      </w:r>
      <w:r w:rsidR="00E34E38" w:rsidRPr="00DE71D2">
        <w:rPr>
          <w:rFonts w:ascii="Arial" w:hAnsi="Arial" w:cs="Arial"/>
          <w:sz w:val="24"/>
          <w:szCs w:val="24"/>
        </w:rPr>
        <w:t xml:space="preserve">ser la actividad económica </w:t>
      </w:r>
      <w:r w:rsidR="00100A80" w:rsidRPr="00DE71D2">
        <w:rPr>
          <w:rFonts w:ascii="Arial" w:hAnsi="Arial" w:cs="Arial"/>
          <w:sz w:val="24"/>
          <w:szCs w:val="24"/>
        </w:rPr>
        <w:t>más</w:t>
      </w:r>
      <w:r w:rsidR="00E34E38" w:rsidRPr="00DE71D2">
        <w:rPr>
          <w:rFonts w:ascii="Arial" w:hAnsi="Arial" w:cs="Arial"/>
          <w:sz w:val="24"/>
          <w:szCs w:val="24"/>
        </w:rPr>
        <w:t xml:space="preserve"> importante del país </w:t>
      </w:r>
      <w:r w:rsidRPr="00DE71D2">
        <w:rPr>
          <w:rFonts w:ascii="Arial" w:hAnsi="Arial" w:cs="Arial"/>
          <w:sz w:val="24"/>
          <w:szCs w:val="24"/>
        </w:rPr>
        <w:t>tiene como efecto que de la volatilidad presentada durante</w:t>
      </w:r>
      <w:r w:rsidR="00A72430" w:rsidRPr="00DE71D2">
        <w:rPr>
          <w:rFonts w:ascii="Arial" w:hAnsi="Arial" w:cs="Arial"/>
          <w:sz w:val="24"/>
          <w:szCs w:val="24"/>
        </w:rPr>
        <w:t xml:space="preserve"> el</w:t>
      </w:r>
      <w:r w:rsidRPr="00DE71D2">
        <w:rPr>
          <w:rFonts w:ascii="Arial" w:hAnsi="Arial" w:cs="Arial"/>
          <w:sz w:val="24"/>
          <w:szCs w:val="24"/>
        </w:rPr>
        <w:t xml:space="preserve"> último</w:t>
      </w:r>
      <w:r w:rsidR="00A72430" w:rsidRPr="00DE71D2">
        <w:rPr>
          <w:rFonts w:ascii="Arial" w:hAnsi="Arial" w:cs="Arial"/>
          <w:sz w:val="24"/>
          <w:szCs w:val="24"/>
        </w:rPr>
        <w:t xml:space="preserve"> año</w:t>
      </w:r>
      <w:r w:rsidRPr="00DE71D2">
        <w:rPr>
          <w:rFonts w:ascii="Arial" w:hAnsi="Arial" w:cs="Arial"/>
          <w:sz w:val="24"/>
          <w:szCs w:val="24"/>
        </w:rPr>
        <w:t xml:space="preserve">  se tenga como resultado </w:t>
      </w:r>
      <w:r w:rsidR="00A72430" w:rsidRPr="00DE71D2">
        <w:rPr>
          <w:rFonts w:ascii="Arial" w:hAnsi="Arial" w:cs="Arial"/>
          <w:sz w:val="24"/>
          <w:szCs w:val="24"/>
        </w:rPr>
        <w:t xml:space="preserve">un golpe </w:t>
      </w:r>
      <w:r w:rsidRPr="00DE71D2">
        <w:rPr>
          <w:rFonts w:ascii="Arial" w:hAnsi="Arial" w:cs="Arial"/>
          <w:sz w:val="24"/>
          <w:szCs w:val="24"/>
        </w:rPr>
        <w:t>a</w:t>
      </w:r>
      <w:r w:rsidR="00A72430" w:rsidRPr="00DE71D2">
        <w:rPr>
          <w:rFonts w:ascii="Arial" w:hAnsi="Arial" w:cs="Arial"/>
          <w:sz w:val="24"/>
          <w:szCs w:val="24"/>
        </w:rPr>
        <w:t xml:space="preserve">l gasto del país, precisamente </w:t>
      </w:r>
      <w:r w:rsidR="00100A80" w:rsidRPr="00DE71D2">
        <w:rPr>
          <w:rFonts w:ascii="Arial" w:hAnsi="Arial" w:cs="Arial"/>
          <w:sz w:val="24"/>
          <w:szCs w:val="24"/>
        </w:rPr>
        <w:t>esta volatilidad tuvo un</w:t>
      </w:r>
      <w:r w:rsidR="00A72430" w:rsidRPr="00DE71D2">
        <w:rPr>
          <w:rFonts w:ascii="Arial" w:hAnsi="Arial" w:cs="Arial"/>
          <w:sz w:val="24"/>
          <w:szCs w:val="24"/>
        </w:rPr>
        <w:t xml:space="preserve"> </w:t>
      </w:r>
      <w:r w:rsidR="00100A80" w:rsidRPr="00DE71D2">
        <w:rPr>
          <w:rFonts w:ascii="Arial" w:hAnsi="Arial" w:cs="Arial"/>
          <w:sz w:val="24"/>
          <w:szCs w:val="24"/>
        </w:rPr>
        <w:t>superávit</w:t>
      </w:r>
      <w:r w:rsidR="00A72430" w:rsidRPr="00DE71D2">
        <w:rPr>
          <w:rFonts w:ascii="Arial" w:hAnsi="Arial" w:cs="Arial"/>
          <w:sz w:val="24"/>
          <w:szCs w:val="24"/>
        </w:rPr>
        <w:t xml:space="preserve"> total </w:t>
      </w:r>
      <w:r w:rsidR="00100A80" w:rsidRPr="00DE71D2">
        <w:rPr>
          <w:rFonts w:ascii="Arial" w:hAnsi="Arial" w:cs="Arial"/>
          <w:sz w:val="24"/>
          <w:szCs w:val="24"/>
        </w:rPr>
        <w:t>de 98 mil millones de pesos y d</w:t>
      </w:r>
      <w:r w:rsidR="00A72430" w:rsidRPr="00DE71D2">
        <w:rPr>
          <w:rFonts w:ascii="Arial" w:hAnsi="Arial" w:cs="Arial"/>
          <w:sz w:val="24"/>
          <w:szCs w:val="24"/>
        </w:rPr>
        <w:t xml:space="preserve">ada la desaceleración de la demanda de crudo para este 2019 tendremos una producción menor que la del año previo </w:t>
      </w:r>
      <w:r w:rsidR="004271A7" w:rsidRPr="00DE71D2">
        <w:rPr>
          <w:rFonts w:ascii="Arial" w:hAnsi="Arial" w:cs="Arial"/>
          <w:sz w:val="24"/>
          <w:szCs w:val="24"/>
        </w:rPr>
        <w:t xml:space="preserve"> </w:t>
      </w:r>
      <w:r w:rsidR="00A72430" w:rsidRPr="00DE71D2">
        <w:rPr>
          <w:rFonts w:ascii="Arial" w:hAnsi="Arial" w:cs="Arial"/>
          <w:sz w:val="24"/>
          <w:szCs w:val="24"/>
        </w:rPr>
        <w:t xml:space="preserve">lo cual lleva a países como </w:t>
      </w:r>
      <w:r w:rsidR="00AE3C61" w:rsidRPr="00DE71D2">
        <w:rPr>
          <w:rFonts w:ascii="Arial" w:hAnsi="Arial" w:cs="Arial"/>
          <w:sz w:val="24"/>
          <w:szCs w:val="24"/>
        </w:rPr>
        <w:t>México</w:t>
      </w:r>
      <w:r w:rsidR="00A72430" w:rsidRPr="00DE71D2">
        <w:rPr>
          <w:rFonts w:ascii="Arial" w:hAnsi="Arial" w:cs="Arial"/>
          <w:sz w:val="24"/>
          <w:szCs w:val="24"/>
        </w:rPr>
        <w:t xml:space="preserve"> que depende en gran medida de su petróleo</w:t>
      </w:r>
      <w:r w:rsidR="004271A7" w:rsidRPr="00DE71D2">
        <w:rPr>
          <w:rFonts w:ascii="Arial" w:hAnsi="Arial" w:cs="Arial"/>
          <w:sz w:val="24"/>
          <w:szCs w:val="24"/>
        </w:rPr>
        <w:t>,</w:t>
      </w:r>
      <w:r w:rsidR="00A72430" w:rsidRPr="00DE71D2">
        <w:rPr>
          <w:rFonts w:ascii="Arial" w:hAnsi="Arial" w:cs="Arial"/>
          <w:sz w:val="24"/>
          <w:szCs w:val="24"/>
        </w:rPr>
        <w:t xml:space="preserve"> a tener que analizar otra vez su presupuesto de egresos y hacer recortes en muchas de los sectores.</w:t>
      </w:r>
    </w:p>
    <w:p w:rsidR="00A72430" w:rsidRPr="00DE71D2" w:rsidRDefault="00EE586A" w:rsidP="00B92BA8">
      <w:pPr>
        <w:spacing w:line="276" w:lineRule="auto"/>
        <w:jc w:val="center"/>
        <w:rPr>
          <w:rFonts w:ascii="Arial" w:hAnsi="Arial" w:cs="Arial"/>
          <w:sz w:val="24"/>
          <w:szCs w:val="24"/>
        </w:rPr>
      </w:pPr>
      <w:r w:rsidRPr="00DE71D2">
        <w:rPr>
          <w:rFonts w:ascii="Arial" w:hAnsi="Arial" w:cs="Arial"/>
          <w:noProof/>
          <w:sz w:val="24"/>
          <w:szCs w:val="24"/>
          <w:lang w:eastAsia="es-MX"/>
        </w:rPr>
        <w:drawing>
          <wp:inline distT="0" distB="0" distL="0" distR="0">
            <wp:extent cx="3476625" cy="178117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1781175"/>
                    </a:xfrm>
                    <a:prstGeom prst="rect">
                      <a:avLst/>
                    </a:prstGeom>
                    <a:noFill/>
                    <a:ln>
                      <a:noFill/>
                    </a:ln>
                  </pic:spPr>
                </pic:pic>
              </a:graphicData>
            </a:graphic>
          </wp:inline>
        </w:drawing>
      </w:r>
      <w:r w:rsidR="00F80CA9" w:rsidRPr="00DE71D2">
        <w:rPr>
          <w:rStyle w:val="Refdenotaalpie"/>
          <w:rFonts w:ascii="Arial" w:hAnsi="Arial" w:cs="Arial"/>
          <w:sz w:val="24"/>
          <w:szCs w:val="24"/>
        </w:rPr>
        <w:footnoteReference w:id="1"/>
      </w:r>
    </w:p>
    <w:p w:rsidR="00A72430" w:rsidRPr="00DE71D2" w:rsidRDefault="00A72430" w:rsidP="00B92BA8">
      <w:pPr>
        <w:spacing w:line="276" w:lineRule="auto"/>
        <w:jc w:val="both"/>
        <w:rPr>
          <w:rFonts w:ascii="Arial" w:hAnsi="Arial" w:cs="Arial"/>
          <w:sz w:val="24"/>
          <w:szCs w:val="24"/>
        </w:rPr>
      </w:pPr>
    </w:p>
    <w:p w:rsidR="00AC017A" w:rsidRPr="00DE71D2" w:rsidRDefault="00AC017A" w:rsidP="00B92BA8">
      <w:pPr>
        <w:spacing w:line="276" w:lineRule="auto"/>
        <w:jc w:val="both"/>
        <w:rPr>
          <w:rFonts w:ascii="Arial" w:hAnsi="Arial" w:cs="Arial"/>
          <w:sz w:val="24"/>
          <w:szCs w:val="24"/>
        </w:rPr>
      </w:pPr>
      <w:r w:rsidRPr="00DE71D2">
        <w:rPr>
          <w:rFonts w:ascii="Arial" w:hAnsi="Arial" w:cs="Arial"/>
          <w:sz w:val="24"/>
          <w:szCs w:val="24"/>
        </w:rPr>
        <w:t>En la</w:t>
      </w:r>
      <w:r w:rsidR="00A72430" w:rsidRPr="00DE71D2">
        <w:rPr>
          <w:rFonts w:ascii="Arial" w:hAnsi="Arial" w:cs="Arial"/>
          <w:sz w:val="24"/>
          <w:szCs w:val="24"/>
        </w:rPr>
        <w:t xml:space="preserve"> segund</w:t>
      </w:r>
      <w:r w:rsidRPr="00DE71D2">
        <w:rPr>
          <w:rFonts w:ascii="Arial" w:hAnsi="Arial" w:cs="Arial"/>
          <w:sz w:val="24"/>
          <w:szCs w:val="24"/>
        </w:rPr>
        <w:t>a</w:t>
      </w:r>
      <w:r w:rsidR="00A72430" w:rsidRPr="00DE71D2">
        <w:rPr>
          <w:rFonts w:ascii="Arial" w:hAnsi="Arial" w:cs="Arial"/>
          <w:sz w:val="24"/>
          <w:szCs w:val="24"/>
        </w:rPr>
        <w:t xml:space="preserve"> </w:t>
      </w:r>
      <w:r w:rsidRPr="00DE71D2">
        <w:rPr>
          <w:rFonts w:ascii="Arial" w:hAnsi="Arial" w:cs="Arial"/>
          <w:sz w:val="24"/>
          <w:szCs w:val="24"/>
        </w:rPr>
        <w:t>división</w:t>
      </w:r>
      <w:r w:rsidR="00A72430" w:rsidRPr="00DE71D2">
        <w:rPr>
          <w:rFonts w:ascii="Arial" w:hAnsi="Arial" w:cs="Arial"/>
          <w:sz w:val="24"/>
          <w:szCs w:val="24"/>
        </w:rPr>
        <w:t xml:space="preserve"> </w:t>
      </w:r>
      <w:r w:rsidRPr="00DE71D2">
        <w:rPr>
          <w:rFonts w:ascii="Arial" w:hAnsi="Arial" w:cs="Arial"/>
          <w:sz w:val="24"/>
          <w:szCs w:val="24"/>
        </w:rPr>
        <w:t>encontramos que</w:t>
      </w:r>
      <w:r w:rsidR="00A803DE" w:rsidRPr="00DE71D2">
        <w:rPr>
          <w:rFonts w:ascii="Arial" w:hAnsi="Arial" w:cs="Arial"/>
          <w:sz w:val="24"/>
          <w:szCs w:val="24"/>
        </w:rPr>
        <w:t xml:space="preserve"> el sector primario </w:t>
      </w:r>
      <w:r w:rsidRPr="00DE71D2">
        <w:rPr>
          <w:rFonts w:ascii="Arial" w:hAnsi="Arial" w:cs="Arial"/>
          <w:sz w:val="24"/>
          <w:szCs w:val="24"/>
        </w:rPr>
        <w:t>se ha</w:t>
      </w:r>
      <w:r w:rsidR="00A803DE" w:rsidRPr="00DE71D2">
        <w:rPr>
          <w:rFonts w:ascii="Arial" w:hAnsi="Arial" w:cs="Arial"/>
          <w:sz w:val="24"/>
          <w:szCs w:val="24"/>
        </w:rPr>
        <w:t xml:space="preserve"> visto favorecido durante todo el 2018 con un alza </w:t>
      </w:r>
      <w:r w:rsidR="00890FC9" w:rsidRPr="00DE71D2">
        <w:rPr>
          <w:rFonts w:ascii="Arial" w:hAnsi="Arial" w:cs="Arial"/>
          <w:sz w:val="24"/>
          <w:szCs w:val="24"/>
        </w:rPr>
        <w:t xml:space="preserve">general, este sector debe de ser tomado en cuenta por el gobierno actual </w:t>
      </w:r>
      <w:r w:rsidRPr="00DE71D2">
        <w:rPr>
          <w:rFonts w:ascii="Arial" w:hAnsi="Arial" w:cs="Arial"/>
          <w:sz w:val="24"/>
          <w:szCs w:val="24"/>
        </w:rPr>
        <w:t>debido a</w:t>
      </w:r>
      <w:r w:rsidR="00890FC9" w:rsidRPr="00DE71D2">
        <w:rPr>
          <w:rFonts w:ascii="Arial" w:hAnsi="Arial" w:cs="Arial"/>
          <w:sz w:val="24"/>
          <w:szCs w:val="24"/>
        </w:rPr>
        <w:t xml:space="preserve"> que si un país no mantiene constante su producción de primarios se ve en riesgo de estar en necesidad de aumentar sus importaciones, deteriorando en gran medida su balanza comercial tal y como sucedió hace algunos años donde en </w:t>
      </w:r>
      <w:r w:rsidR="00AE3C61" w:rsidRPr="00DE71D2">
        <w:rPr>
          <w:rFonts w:ascii="Arial" w:hAnsi="Arial" w:cs="Arial"/>
          <w:sz w:val="24"/>
          <w:szCs w:val="24"/>
        </w:rPr>
        <w:t>México</w:t>
      </w:r>
      <w:r w:rsidR="00890FC9" w:rsidRPr="00DE71D2">
        <w:rPr>
          <w:rFonts w:ascii="Arial" w:hAnsi="Arial" w:cs="Arial"/>
          <w:sz w:val="24"/>
          <w:szCs w:val="24"/>
        </w:rPr>
        <w:t xml:space="preserve"> los sectores secundario y </w:t>
      </w:r>
      <w:r w:rsidR="00AE3C61" w:rsidRPr="00DE71D2">
        <w:rPr>
          <w:rFonts w:ascii="Arial" w:hAnsi="Arial" w:cs="Arial"/>
          <w:sz w:val="24"/>
          <w:szCs w:val="24"/>
        </w:rPr>
        <w:t>terciario</w:t>
      </w:r>
      <w:r w:rsidR="00890FC9" w:rsidRPr="00DE71D2">
        <w:rPr>
          <w:rFonts w:ascii="Arial" w:hAnsi="Arial" w:cs="Arial"/>
          <w:sz w:val="24"/>
          <w:szCs w:val="24"/>
        </w:rPr>
        <w:t xml:space="preserve"> tuvieron un crecimiento importante y el hecho de que el sector primario principalmente el de la agricultura se vio en abandono casi permanente se tuvo que llegar a la necesidad de import</w:t>
      </w:r>
      <w:r w:rsidRPr="00DE71D2">
        <w:rPr>
          <w:rFonts w:ascii="Arial" w:hAnsi="Arial" w:cs="Arial"/>
          <w:sz w:val="24"/>
          <w:szCs w:val="24"/>
        </w:rPr>
        <w:t>ar desde maíz hasta arroz.</w:t>
      </w:r>
    </w:p>
    <w:p w:rsidR="00FE44EC" w:rsidRPr="00DE71D2" w:rsidRDefault="00682AFC" w:rsidP="00B92BA8">
      <w:pPr>
        <w:spacing w:line="276" w:lineRule="auto"/>
        <w:jc w:val="both"/>
        <w:rPr>
          <w:rFonts w:ascii="Arial" w:hAnsi="Arial" w:cs="Arial"/>
          <w:sz w:val="24"/>
          <w:szCs w:val="24"/>
        </w:rPr>
      </w:pPr>
      <w:r w:rsidRPr="00DE71D2">
        <w:rPr>
          <w:rFonts w:ascii="Arial" w:hAnsi="Arial" w:cs="Arial"/>
          <w:sz w:val="24"/>
          <w:szCs w:val="24"/>
        </w:rPr>
        <w:t>Los ingresos presupuestarios durante 2018 del sector público se ubicaron en 5 billones 113 mil 103 millones de pesos, monto superior en 334 mil 812 millones de pesos a lo previsto en el programa.</w:t>
      </w:r>
    </w:p>
    <w:p w:rsidR="00682AFC" w:rsidRPr="00DE71D2" w:rsidRDefault="00682AFC" w:rsidP="00B92BA8">
      <w:pPr>
        <w:spacing w:line="276" w:lineRule="auto"/>
        <w:jc w:val="both"/>
        <w:rPr>
          <w:rFonts w:ascii="Arial" w:hAnsi="Arial" w:cs="Arial"/>
          <w:sz w:val="24"/>
          <w:szCs w:val="24"/>
        </w:rPr>
      </w:pPr>
      <w:r w:rsidRPr="00DE71D2">
        <w:rPr>
          <w:rFonts w:ascii="Arial" w:hAnsi="Arial" w:cs="Arial"/>
          <w:sz w:val="24"/>
          <w:szCs w:val="24"/>
        </w:rPr>
        <w:lastRenderedPageBreak/>
        <w:t xml:space="preserve">Los ingresos petroleros aumentaron 12.8% real debido al </w:t>
      </w:r>
      <w:r w:rsidR="00950C2D" w:rsidRPr="00DE71D2">
        <w:rPr>
          <w:rFonts w:ascii="Arial" w:hAnsi="Arial" w:cs="Arial"/>
          <w:sz w:val="24"/>
          <w:szCs w:val="24"/>
        </w:rPr>
        <w:t>incremento</w:t>
      </w:r>
      <w:r w:rsidRPr="00DE71D2">
        <w:rPr>
          <w:rFonts w:ascii="Arial" w:hAnsi="Arial" w:cs="Arial"/>
          <w:sz w:val="24"/>
          <w:szCs w:val="24"/>
        </w:rPr>
        <w:t xml:space="preserve"> en el precio promedio de exportaciones de la </w:t>
      </w:r>
      <w:r w:rsidR="00950C2D" w:rsidRPr="00DE71D2">
        <w:rPr>
          <w:rFonts w:ascii="Arial" w:hAnsi="Arial" w:cs="Arial"/>
          <w:sz w:val="24"/>
          <w:szCs w:val="24"/>
        </w:rPr>
        <w:t>mezcla</w:t>
      </w:r>
      <w:r w:rsidRPr="00DE71D2">
        <w:rPr>
          <w:rFonts w:ascii="Arial" w:hAnsi="Arial" w:cs="Arial"/>
          <w:sz w:val="24"/>
          <w:szCs w:val="24"/>
        </w:rPr>
        <w:t xml:space="preserve"> mexicana de petróleo, cuestión que se contrarrestó parcialmente por la disminución en la producción de petróleo.</w:t>
      </w:r>
    </w:p>
    <w:p w:rsidR="00950C2D" w:rsidRPr="00DE71D2" w:rsidRDefault="00950C2D" w:rsidP="00B92BA8">
      <w:pPr>
        <w:spacing w:line="276" w:lineRule="auto"/>
        <w:jc w:val="both"/>
        <w:rPr>
          <w:rFonts w:ascii="Arial" w:hAnsi="Arial" w:cs="Arial"/>
          <w:sz w:val="24"/>
          <w:szCs w:val="24"/>
        </w:rPr>
      </w:pPr>
      <w:r w:rsidRPr="00DE71D2">
        <w:rPr>
          <w:rFonts w:ascii="Arial" w:hAnsi="Arial" w:cs="Arial"/>
          <w:sz w:val="24"/>
          <w:szCs w:val="24"/>
        </w:rPr>
        <w:t>En 2018, el gasto neto pagado fue de 5 billones 592 mil 152 millones de pesos, monto superior al que se tenía previsto en el programa; El mayor gasto se sustenta fundamentalmente en ingresos adicionales a los previstos en la Ley de Ingresos de la Federación (LIF) y el destino que les otorga la Ley Federal de Presupuesto y Responsabilidad Hacendaria (LFPRH).</w:t>
      </w:r>
    </w:p>
    <w:p w:rsidR="00950C2D" w:rsidRPr="00DE71D2" w:rsidRDefault="00950C2D" w:rsidP="00B92BA8">
      <w:pPr>
        <w:spacing w:line="276" w:lineRule="auto"/>
        <w:jc w:val="both"/>
        <w:rPr>
          <w:rFonts w:ascii="Arial" w:hAnsi="Arial" w:cs="Arial"/>
          <w:sz w:val="24"/>
          <w:szCs w:val="24"/>
        </w:rPr>
      </w:pPr>
      <w:r w:rsidRPr="00DE71D2">
        <w:rPr>
          <w:rFonts w:ascii="Arial" w:hAnsi="Arial" w:cs="Arial"/>
          <w:sz w:val="24"/>
          <w:szCs w:val="24"/>
        </w:rPr>
        <w:t>De acuerdo con la Ley de Coordinación Fiscal, se pagaron mayores participantes a los estados y municipios por 31mil 734 millones de pesos, con una mayor recaudación federal participable a la prevista en la LIF 2018.</w:t>
      </w:r>
    </w:p>
    <w:p w:rsidR="00950C2D" w:rsidRPr="00DE71D2" w:rsidRDefault="00950C2D" w:rsidP="00B92BA8">
      <w:pPr>
        <w:spacing w:line="276" w:lineRule="auto"/>
        <w:jc w:val="both"/>
        <w:rPr>
          <w:rFonts w:ascii="Arial" w:hAnsi="Arial" w:cs="Arial"/>
          <w:sz w:val="24"/>
          <w:szCs w:val="24"/>
        </w:rPr>
      </w:pPr>
      <w:r w:rsidRPr="00DE71D2">
        <w:rPr>
          <w:rFonts w:ascii="Arial" w:hAnsi="Arial" w:cs="Arial"/>
          <w:sz w:val="24"/>
          <w:szCs w:val="24"/>
        </w:rPr>
        <w:t xml:space="preserve">Según el </w:t>
      </w:r>
      <w:r w:rsidR="00725DD4" w:rsidRPr="00DE71D2">
        <w:rPr>
          <w:rFonts w:ascii="Arial" w:hAnsi="Arial" w:cs="Arial"/>
          <w:sz w:val="24"/>
          <w:szCs w:val="24"/>
        </w:rPr>
        <w:t>artículo</w:t>
      </w:r>
      <w:r w:rsidRPr="00DE71D2">
        <w:rPr>
          <w:rFonts w:ascii="Arial" w:hAnsi="Arial" w:cs="Arial"/>
          <w:sz w:val="24"/>
          <w:szCs w:val="24"/>
        </w:rPr>
        <w:t xml:space="preserve"> 19, en fracción I, de la LFPRH, los ingresos excedentes que no cuenten con un destino </w:t>
      </w:r>
      <w:r w:rsidR="00725DD4" w:rsidRPr="00DE71D2">
        <w:rPr>
          <w:rFonts w:ascii="Arial" w:hAnsi="Arial" w:cs="Arial"/>
          <w:sz w:val="24"/>
          <w:szCs w:val="24"/>
        </w:rPr>
        <w:t>específico</w:t>
      </w:r>
      <w:r w:rsidRPr="00DE71D2">
        <w:rPr>
          <w:rFonts w:ascii="Arial" w:hAnsi="Arial" w:cs="Arial"/>
          <w:sz w:val="24"/>
          <w:szCs w:val="24"/>
        </w:rPr>
        <w:t xml:space="preserve"> se podrán destinar a cubrir un mayor gasto no programable, a atener desastres naturales</w:t>
      </w:r>
      <w:r w:rsidR="00725DD4" w:rsidRPr="00DE71D2">
        <w:rPr>
          <w:rFonts w:ascii="Arial" w:hAnsi="Arial" w:cs="Arial"/>
          <w:sz w:val="24"/>
          <w:szCs w:val="24"/>
        </w:rPr>
        <w:t xml:space="preserve"> y al incremento en los apoyos a cubrir.</w:t>
      </w:r>
    </w:p>
    <w:p w:rsidR="00725DD4" w:rsidRPr="00DE71D2" w:rsidRDefault="00725DD4" w:rsidP="00B92BA8">
      <w:pPr>
        <w:spacing w:line="276" w:lineRule="auto"/>
        <w:jc w:val="both"/>
        <w:rPr>
          <w:rFonts w:ascii="Arial" w:hAnsi="Arial" w:cs="Arial"/>
          <w:sz w:val="24"/>
          <w:szCs w:val="24"/>
        </w:rPr>
      </w:pPr>
      <w:r w:rsidRPr="00DE71D2">
        <w:rPr>
          <w:rFonts w:ascii="Arial" w:hAnsi="Arial" w:cs="Arial"/>
          <w:sz w:val="24"/>
          <w:szCs w:val="24"/>
        </w:rPr>
        <w:t>En este sentido, en 2018 se canalizaron recursos por 40 mil 54 millones de pesos para dicho fin: 31 mil 226 millones de pesos para apoyar las tarifas eléctricas y 8 mil 825 millones de pesos para el Fondo de Desastres Naturales (FONDEN) y al Fondo de Prevención de Desastres Naturales (FOPREDEN).</w:t>
      </w:r>
      <w:r w:rsidRPr="00DE71D2">
        <w:rPr>
          <w:rStyle w:val="Refdenotaalpie"/>
          <w:rFonts w:ascii="Arial" w:hAnsi="Arial" w:cs="Arial"/>
          <w:sz w:val="24"/>
          <w:szCs w:val="24"/>
        </w:rPr>
        <w:footnoteReference w:id="2"/>
      </w:r>
    </w:p>
    <w:p w:rsidR="00682AFC" w:rsidRPr="00DE71D2" w:rsidRDefault="00682AFC" w:rsidP="00B92BA8">
      <w:pPr>
        <w:spacing w:line="276" w:lineRule="auto"/>
        <w:jc w:val="both"/>
        <w:rPr>
          <w:rFonts w:ascii="Arial" w:hAnsi="Arial" w:cs="Arial"/>
          <w:sz w:val="24"/>
          <w:szCs w:val="24"/>
        </w:rPr>
      </w:pPr>
    </w:p>
    <w:p w:rsidR="00AE3C61" w:rsidRPr="00DE71D2" w:rsidRDefault="00EE586A" w:rsidP="00B92BA8">
      <w:pPr>
        <w:spacing w:line="276" w:lineRule="auto"/>
        <w:jc w:val="center"/>
        <w:rPr>
          <w:rFonts w:ascii="Arial" w:hAnsi="Arial" w:cs="Arial"/>
          <w:sz w:val="24"/>
          <w:szCs w:val="24"/>
        </w:rPr>
      </w:pPr>
      <w:r w:rsidRPr="00DE71D2">
        <w:rPr>
          <w:rFonts w:ascii="Arial" w:hAnsi="Arial" w:cs="Arial"/>
          <w:noProof/>
          <w:sz w:val="24"/>
          <w:szCs w:val="24"/>
          <w:lang w:eastAsia="es-MX"/>
        </w:rPr>
        <w:drawing>
          <wp:inline distT="0" distB="0" distL="0" distR="0">
            <wp:extent cx="2770020" cy="2447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0020" cy="2447925"/>
                    </a:xfrm>
                    <a:prstGeom prst="rect">
                      <a:avLst/>
                    </a:prstGeom>
                    <a:noFill/>
                    <a:ln>
                      <a:noFill/>
                    </a:ln>
                  </pic:spPr>
                </pic:pic>
              </a:graphicData>
            </a:graphic>
          </wp:inline>
        </w:drawing>
      </w:r>
      <w:r w:rsidR="00A04726" w:rsidRPr="00DE71D2">
        <w:rPr>
          <w:rStyle w:val="Refdenotaalpie"/>
          <w:rFonts w:ascii="Arial" w:hAnsi="Arial" w:cs="Arial"/>
          <w:sz w:val="24"/>
          <w:szCs w:val="24"/>
        </w:rPr>
        <w:footnoteReference w:id="3"/>
      </w:r>
    </w:p>
    <w:p w:rsidR="00890FC9" w:rsidRPr="00DE71D2" w:rsidRDefault="00AC017A" w:rsidP="00B92BA8">
      <w:pPr>
        <w:spacing w:line="276" w:lineRule="auto"/>
        <w:jc w:val="both"/>
        <w:rPr>
          <w:rFonts w:ascii="Arial" w:hAnsi="Arial" w:cs="Arial"/>
          <w:sz w:val="24"/>
          <w:szCs w:val="24"/>
        </w:rPr>
      </w:pPr>
      <w:r w:rsidRPr="00DE71D2">
        <w:rPr>
          <w:rFonts w:ascii="Arial" w:hAnsi="Arial" w:cs="Arial"/>
          <w:sz w:val="24"/>
          <w:szCs w:val="24"/>
        </w:rPr>
        <w:t>En</w:t>
      </w:r>
      <w:r w:rsidR="00890FC9" w:rsidRPr="00DE71D2">
        <w:rPr>
          <w:rFonts w:ascii="Arial" w:hAnsi="Arial" w:cs="Arial"/>
          <w:sz w:val="24"/>
          <w:szCs w:val="24"/>
        </w:rPr>
        <w:t xml:space="preserve"> 1980 se empezó a adoptar un modelo de </w:t>
      </w:r>
      <w:r w:rsidR="00AE3C61" w:rsidRPr="00DE71D2">
        <w:rPr>
          <w:rFonts w:ascii="Arial" w:hAnsi="Arial" w:cs="Arial"/>
          <w:sz w:val="24"/>
          <w:szCs w:val="24"/>
        </w:rPr>
        <w:t>crecimiento</w:t>
      </w:r>
      <w:r w:rsidR="00890FC9" w:rsidRPr="00DE71D2">
        <w:rPr>
          <w:rFonts w:ascii="Arial" w:hAnsi="Arial" w:cs="Arial"/>
          <w:sz w:val="24"/>
          <w:szCs w:val="24"/>
        </w:rPr>
        <w:t xml:space="preserve"> </w:t>
      </w:r>
      <w:r w:rsidR="00AE3C61" w:rsidRPr="00DE71D2">
        <w:rPr>
          <w:rFonts w:ascii="Arial" w:hAnsi="Arial" w:cs="Arial"/>
          <w:sz w:val="24"/>
          <w:szCs w:val="24"/>
        </w:rPr>
        <w:t>impulsado</w:t>
      </w:r>
      <w:r w:rsidR="00890FC9" w:rsidRPr="00DE71D2">
        <w:rPr>
          <w:rFonts w:ascii="Arial" w:hAnsi="Arial" w:cs="Arial"/>
          <w:sz w:val="24"/>
          <w:szCs w:val="24"/>
        </w:rPr>
        <w:t xml:space="preserve"> por las exportaciones </w:t>
      </w:r>
      <w:r w:rsidRPr="00DE71D2">
        <w:rPr>
          <w:rFonts w:ascii="Arial" w:hAnsi="Arial" w:cs="Arial"/>
          <w:sz w:val="24"/>
          <w:szCs w:val="24"/>
        </w:rPr>
        <w:t>d</w:t>
      </w:r>
      <w:r w:rsidR="00890FC9" w:rsidRPr="00DE71D2">
        <w:rPr>
          <w:rFonts w:ascii="Arial" w:hAnsi="Arial" w:cs="Arial"/>
          <w:sz w:val="24"/>
          <w:szCs w:val="24"/>
        </w:rPr>
        <w:t xml:space="preserve">el sector ganadero y agrícola </w:t>
      </w:r>
      <w:r w:rsidRPr="00DE71D2">
        <w:rPr>
          <w:rFonts w:ascii="Arial" w:hAnsi="Arial" w:cs="Arial"/>
          <w:sz w:val="24"/>
          <w:szCs w:val="24"/>
        </w:rPr>
        <w:t xml:space="preserve">que </w:t>
      </w:r>
      <w:r w:rsidR="00890FC9" w:rsidRPr="00DE71D2">
        <w:rPr>
          <w:rFonts w:ascii="Arial" w:hAnsi="Arial" w:cs="Arial"/>
          <w:sz w:val="24"/>
          <w:szCs w:val="24"/>
        </w:rPr>
        <w:t xml:space="preserve">se vieron beneficiados, pero fue </w:t>
      </w:r>
      <w:r w:rsidR="00890FC9" w:rsidRPr="00DE71D2">
        <w:rPr>
          <w:rFonts w:ascii="Arial" w:hAnsi="Arial" w:cs="Arial"/>
          <w:sz w:val="24"/>
          <w:szCs w:val="24"/>
        </w:rPr>
        <w:lastRenderedPageBreak/>
        <w:t xml:space="preserve">esta misma tendencia creciente de demanda la que hizo que el </w:t>
      </w:r>
      <w:r w:rsidR="00AE3C61" w:rsidRPr="00DE71D2">
        <w:rPr>
          <w:rFonts w:ascii="Arial" w:hAnsi="Arial" w:cs="Arial"/>
          <w:sz w:val="24"/>
          <w:szCs w:val="24"/>
        </w:rPr>
        <w:t>gobierno</w:t>
      </w:r>
      <w:r w:rsidR="00890FC9" w:rsidRPr="00DE71D2">
        <w:rPr>
          <w:rFonts w:ascii="Arial" w:hAnsi="Arial" w:cs="Arial"/>
          <w:sz w:val="24"/>
          <w:szCs w:val="24"/>
        </w:rPr>
        <w:t xml:space="preserve"> se confiara de este sector disminuyendo en gran  medida los aportes para el campo y los apoyos para</w:t>
      </w:r>
      <w:r w:rsidR="00100A80" w:rsidRPr="00DE71D2">
        <w:rPr>
          <w:rFonts w:ascii="Arial" w:hAnsi="Arial" w:cs="Arial"/>
          <w:sz w:val="24"/>
          <w:szCs w:val="24"/>
        </w:rPr>
        <w:t xml:space="preserve"> medio ambiente</w:t>
      </w:r>
      <w:r w:rsidRPr="00DE71D2">
        <w:rPr>
          <w:rFonts w:ascii="Arial" w:hAnsi="Arial" w:cs="Arial"/>
          <w:sz w:val="24"/>
          <w:szCs w:val="24"/>
        </w:rPr>
        <w:t>,</w:t>
      </w:r>
      <w:r w:rsidR="00100A80" w:rsidRPr="00DE71D2">
        <w:rPr>
          <w:rFonts w:ascii="Arial" w:hAnsi="Arial" w:cs="Arial"/>
          <w:sz w:val="24"/>
          <w:szCs w:val="24"/>
        </w:rPr>
        <w:t xml:space="preserve"> sumado a la privatización de zonas ambientales </w:t>
      </w:r>
      <w:r w:rsidR="00AE3C61" w:rsidRPr="00DE71D2">
        <w:rPr>
          <w:rFonts w:ascii="Arial" w:hAnsi="Arial" w:cs="Arial"/>
          <w:sz w:val="24"/>
          <w:szCs w:val="24"/>
        </w:rPr>
        <w:t>específicas</w:t>
      </w:r>
      <w:r w:rsidR="00100A80" w:rsidRPr="00DE71D2">
        <w:rPr>
          <w:rFonts w:ascii="Arial" w:hAnsi="Arial" w:cs="Arial"/>
          <w:sz w:val="24"/>
          <w:szCs w:val="24"/>
        </w:rPr>
        <w:t xml:space="preserve"> como nacimientos de agua y las concesiones a mineras que al no tener ninguna norma de control ambiental por parte de los gobiernos desembocarían en problemas importantes</w:t>
      </w:r>
      <w:r w:rsidRPr="00DE71D2">
        <w:rPr>
          <w:rFonts w:ascii="Arial" w:hAnsi="Arial" w:cs="Arial"/>
          <w:sz w:val="24"/>
          <w:szCs w:val="24"/>
        </w:rPr>
        <w:t>;</w:t>
      </w:r>
      <w:r w:rsidR="00100A80" w:rsidRPr="00DE71D2">
        <w:rPr>
          <w:rFonts w:ascii="Arial" w:hAnsi="Arial" w:cs="Arial"/>
          <w:sz w:val="24"/>
          <w:szCs w:val="24"/>
        </w:rPr>
        <w:t xml:space="preserve"> como agua no utilizable para el consumo humano, zonas de riego contaminadas y sequias en algunas partes del norte del país provocadas </w:t>
      </w:r>
      <w:r w:rsidR="00AE3C61" w:rsidRPr="00DE71D2">
        <w:rPr>
          <w:rFonts w:ascii="Arial" w:hAnsi="Arial" w:cs="Arial"/>
          <w:sz w:val="24"/>
          <w:szCs w:val="24"/>
        </w:rPr>
        <w:t>principalmente</w:t>
      </w:r>
      <w:r w:rsidR="00100A80" w:rsidRPr="00DE71D2">
        <w:rPr>
          <w:rFonts w:ascii="Arial" w:hAnsi="Arial" w:cs="Arial"/>
          <w:sz w:val="24"/>
          <w:szCs w:val="24"/>
        </w:rPr>
        <w:t xml:space="preserve"> por la </w:t>
      </w:r>
      <w:r w:rsidR="00AE3C61" w:rsidRPr="00DE71D2">
        <w:rPr>
          <w:rFonts w:ascii="Arial" w:hAnsi="Arial" w:cs="Arial"/>
          <w:sz w:val="24"/>
          <w:szCs w:val="24"/>
        </w:rPr>
        <w:t>pérdida</w:t>
      </w:r>
      <w:r w:rsidR="00100A80" w:rsidRPr="00DE71D2">
        <w:rPr>
          <w:rFonts w:ascii="Arial" w:hAnsi="Arial" w:cs="Arial"/>
          <w:sz w:val="24"/>
          <w:szCs w:val="24"/>
        </w:rPr>
        <w:t xml:space="preserve"> de los cauces naturales de los ríos y lagos.</w:t>
      </w:r>
    </w:p>
    <w:p w:rsidR="00100A80" w:rsidRPr="00DE71D2" w:rsidRDefault="00100A80" w:rsidP="00B92BA8">
      <w:pPr>
        <w:spacing w:line="276" w:lineRule="auto"/>
        <w:jc w:val="both"/>
        <w:rPr>
          <w:rFonts w:ascii="Arial" w:hAnsi="Arial" w:cs="Arial"/>
          <w:sz w:val="24"/>
          <w:szCs w:val="24"/>
        </w:rPr>
      </w:pPr>
      <w:r w:rsidRPr="00DE71D2">
        <w:rPr>
          <w:rFonts w:ascii="Arial" w:hAnsi="Arial" w:cs="Arial"/>
          <w:sz w:val="24"/>
          <w:szCs w:val="24"/>
        </w:rPr>
        <w:t xml:space="preserve">Sin comentar algo mas es importante ver que parte del problema migratorio que </w:t>
      </w:r>
      <w:r w:rsidR="00AE3C61" w:rsidRPr="00DE71D2">
        <w:rPr>
          <w:rFonts w:ascii="Arial" w:hAnsi="Arial" w:cs="Arial"/>
          <w:sz w:val="24"/>
          <w:szCs w:val="24"/>
        </w:rPr>
        <w:t>está</w:t>
      </w:r>
      <w:r w:rsidRPr="00DE71D2">
        <w:rPr>
          <w:rFonts w:ascii="Arial" w:hAnsi="Arial" w:cs="Arial"/>
          <w:sz w:val="24"/>
          <w:szCs w:val="24"/>
        </w:rPr>
        <w:t xml:space="preserve"> viviendo la zona sur del país es causa de ello ya que con un campo abandonado no queda </w:t>
      </w:r>
      <w:r w:rsidR="00AE3C61" w:rsidRPr="00DE71D2">
        <w:rPr>
          <w:rFonts w:ascii="Arial" w:hAnsi="Arial" w:cs="Arial"/>
          <w:sz w:val="24"/>
          <w:szCs w:val="24"/>
        </w:rPr>
        <w:t>más</w:t>
      </w:r>
      <w:r w:rsidRPr="00DE71D2">
        <w:rPr>
          <w:rFonts w:ascii="Arial" w:hAnsi="Arial" w:cs="Arial"/>
          <w:sz w:val="24"/>
          <w:szCs w:val="24"/>
        </w:rPr>
        <w:t xml:space="preserve"> que moverse a otro lugar y muchos de e</w:t>
      </w:r>
      <w:r w:rsidR="00DD76CF" w:rsidRPr="00DE71D2">
        <w:rPr>
          <w:rFonts w:ascii="Arial" w:hAnsi="Arial" w:cs="Arial"/>
          <w:sz w:val="24"/>
          <w:szCs w:val="24"/>
        </w:rPr>
        <w:t>stos grupos de personas ven en Estados U</w:t>
      </w:r>
      <w:r w:rsidRPr="00DE71D2">
        <w:rPr>
          <w:rFonts w:ascii="Arial" w:hAnsi="Arial" w:cs="Arial"/>
          <w:sz w:val="24"/>
          <w:szCs w:val="24"/>
        </w:rPr>
        <w:t xml:space="preserve">nidos la única manera viable de lograrlo. En zonas de Chiapas y </w:t>
      </w:r>
      <w:r w:rsidR="00DD76CF" w:rsidRPr="00DE71D2">
        <w:rPr>
          <w:rFonts w:ascii="Arial" w:hAnsi="Arial" w:cs="Arial"/>
          <w:sz w:val="24"/>
          <w:szCs w:val="24"/>
        </w:rPr>
        <w:t>T</w:t>
      </w:r>
      <w:r w:rsidRPr="00DE71D2">
        <w:rPr>
          <w:rFonts w:ascii="Arial" w:hAnsi="Arial" w:cs="Arial"/>
          <w:sz w:val="24"/>
          <w:szCs w:val="24"/>
        </w:rPr>
        <w:t>abasco el abandono a este sector es tal que las personas tienen su principal fuente de ingreso de las remesas q</w:t>
      </w:r>
      <w:r w:rsidR="00DD76CF" w:rsidRPr="00DE71D2">
        <w:rPr>
          <w:rFonts w:ascii="Arial" w:hAnsi="Arial" w:cs="Arial"/>
          <w:sz w:val="24"/>
          <w:szCs w:val="24"/>
        </w:rPr>
        <w:t>ue vienen desde Estados U</w:t>
      </w:r>
      <w:r w:rsidR="00A04726" w:rsidRPr="00DE71D2">
        <w:rPr>
          <w:rFonts w:ascii="Arial" w:hAnsi="Arial" w:cs="Arial"/>
          <w:sz w:val="24"/>
          <w:szCs w:val="24"/>
        </w:rPr>
        <w:t>nidos.</w:t>
      </w:r>
    </w:p>
    <w:p w:rsidR="00A04726" w:rsidRPr="00DE71D2" w:rsidRDefault="00A04726" w:rsidP="00B92BA8">
      <w:pPr>
        <w:spacing w:line="276" w:lineRule="auto"/>
        <w:jc w:val="both"/>
        <w:rPr>
          <w:rFonts w:ascii="Arial" w:hAnsi="Arial" w:cs="Arial"/>
          <w:sz w:val="24"/>
          <w:szCs w:val="24"/>
        </w:rPr>
      </w:pPr>
      <w:r w:rsidRPr="00DE71D2">
        <w:rPr>
          <w:rFonts w:ascii="Arial" w:hAnsi="Arial" w:cs="Arial"/>
          <w:sz w:val="24"/>
          <w:szCs w:val="24"/>
        </w:rPr>
        <w:t xml:space="preserve">En el tema de importaciones y exportaciones </w:t>
      </w:r>
      <w:proofErr w:type="gramStart"/>
      <w:r w:rsidRPr="00DE71D2">
        <w:rPr>
          <w:rFonts w:ascii="Arial" w:hAnsi="Arial" w:cs="Arial"/>
          <w:sz w:val="24"/>
          <w:szCs w:val="24"/>
        </w:rPr>
        <w:t>lo  retomaremos</w:t>
      </w:r>
      <w:proofErr w:type="gramEnd"/>
      <w:r w:rsidRPr="00DE71D2">
        <w:rPr>
          <w:rFonts w:ascii="Arial" w:hAnsi="Arial" w:cs="Arial"/>
          <w:sz w:val="24"/>
          <w:szCs w:val="24"/>
        </w:rPr>
        <w:t xml:space="preserve"> para decir que El sector primario, contribuye al crecimiento económico por medio de las divisas que aporta para financiar los requerimientos de importaciones del conjunto de la economía, particularmente de bienes de capital. En este contexto, no debe olvidarse la contribución que el sector primario hace al crecimiento por la vía de la balanza de pagos, otra contribución ocurre por la vía del mercado que representa para la producción industrial, especialmente en las etapas iniciales de la industrialización, finalmente, el sector primario provee de la comida necesaria para una población que, conforme se emplea y crece su ingreso, demandará cantidades y variedades mayores de alimento lo cual en México es importante mencionar que si es un mercado en crecimiento y cuyo valor está en aumento por las demandas de la población debería de hace mayor énfasis e incentivar el empleo principalmente en zonas como lo son el sur y centro de México  en cuanto a agricultura o en su defecto darle al norte del país las condiciones necesarias para explotar la ganadería ya que su posición geográfica es de gran ayuda para que se pueda lograr un disminui</w:t>
      </w:r>
      <w:r w:rsidR="00DD76CF" w:rsidRPr="00DE71D2">
        <w:rPr>
          <w:rFonts w:ascii="Arial" w:hAnsi="Arial" w:cs="Arial"/>
          <w:sz w:val="24"/>
          <w:szCs w:val="24"/>
        </w:rPr>
        <w:t>r el déficit comercial con los Estados U</w:t>
      </w:r>
      <w:r w:rsidRPr="00DE71D2">
        <w:rPr>
          <w:rFonts w:ascii="Arial" w:hAnsi="Arial" w:cs="Arial"/>
          <w:sz w:val="24"/>
          <w:szCs w:val="24"/>
        </w:rPr>
        <w:t>nidos.</w:t>
      </w:r>
    </w:p>
    <w:p w:rsidR="00EE586A" w:rsidRPr="00DE71D2" w:rsidRDefault="00A04726" w:rsidP="00B92BA8">
      <w:pPr>
        <w:spacing w:line="276" w:lineRule="auto"/>
        <w:jc w:val="both"/>
        <w:rPr>
          <w:rFonts w:ascii="Arial" w:hAnsi="Arial" w:cs="Arial"/>
          <w:sz w:val="24"/>
          <w:szCs w:val="24"/>
        </w:rPr>
      </w:pPr>
      <w:r w:rsidRPr="00DE71D2">
        <w:rPr>
          <w:rFonts w:ascii="Arial" w:hAnsi="Arial" w:cs="Arial"/>
          <w:sz w:val="24"/>
          <w:szCs w:val="24"/>
        </w:rPr>
        <w:t xml:space="preserve">En la siguiente grafica de puede ver cómo es que en México se tiene una producción de carne que va en </w:t>
      </w:r>
      <w:r w:rsidR="00DD76CF" w:rsidRPr="00DE71D2">
        <w:rPr>
          <w:rFonts w:ascii="Arial" w:hAnsi="Arial" w:cs="Arial"/>
          <w:sz w:val="24"/>
          <w:szCs w:val="24"/>
        </w:rPr>
        <w:t>aumento,</w:t>
      </w:r>
      <w:r w:rsidRPr="00DE71D2">
        <w:rPr>
          <w:rFonts w:ascii="Arial" w:hAnsi="Arial" w:cs="Arial"/>
          <w:sz w:val="24"/>
          <w:szCs w:val="24"/>
        </w:rPr>
        <w:t xml:space="preserve"> pero no va a ser sustentable si no se da apoyo a los mercados primarios.</w:t>
      </w:r>
    </w:p>
    <w:p w:rsidR="00A04726" w:rsidRPr="00DE71D2" w:rsidRDefault="003A23DD" w:rsidP="00B92BA8">
      <w:pPr>
        <w:spacing w:line="276" w:lineRule="auto"/>
        <w:jc w:val="center"/>
        <w:rPr>
          <w:rFonts w:ascii="Arial" w:hAnsi="Arial" w:cs="Arial"/>
          <w:sz w:val="24"/>
          <w:szCs w:val="24"/>
        </w:rPr>
      </w:pPr>
      <w:r w:rsidRPr="00DE71D2">
        <w:rPr>
          <w:rFonts w:ascii="Arial" w:hAnsi="Arial" w:cs="Arial"/>
          <w:noProof/>
          <w:sz w:val="24"/>
          <w:szCs w:val="24"/>
          <w:vertAlign w:val="subscript"/>
          <w:lang w:eastAsia="es-MX"/>
        </w:rPr>
        <w:lastRenderedPageBreak/>
        <w:drawing>
          <wp:inline distT="0" distB="0" distL="0" distR="0" wp14:anchorId="4140461B" wp14:editId="59CE5A04">
            <wp:extent cx="2447925" cy="1709416"/>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65" cy="1718731"/>
                    </a:xfrm>
                    <a:prstGeom prst="rect">
                      <a:avLst/>
                    </a:prstGeom>
                    <a:noFill/>
                    <a:ln>
                      <a:noFill/>
                    </a:ln>
                  </pic:spPr>
                </pic:pic>
              </a:graphicData>
            </a:graphic>
          </wp:inline>
        </w:drawing>
      </w:r>
      <w:r w:rsidR="00A04726" w:rsidRPr="00DE71D2">
        <w:rPr>
          <w:rStyle w:val="Refdenotaalpie"/>
          <w:rFonts w:ascii="Arial" w:hAnsi="Arial" w:cs="Arial"/>
          <w:sz w:val="24"/>
          <w:szCs w:val="24"/>
        </w:rPr>
        <w:footnoteReference w:id="4"/>
      </w:r>
    </w:p>
    <w:p w:rsidR="00A04726" w:rsidRPr="00DE71D2" w:rsidRDefault="00A04726" w:rsidP="00B92BA8">
      <w:pPr>
        <w:spacing w:line="276" w:lineRule="auto"/>
        <w:jc w:val="both"/>
        <w:rPr>
          <w:rFonts w:ascii="Arial" w:hAnsi="Arial" w:cs="Arial"/>
          <w:sz w:val="24"/>
          <w:szCs w:val="24"/>
        </w:rPr>
      </w:pPr>
      <w:r w:rsidRPr="00DE71D2">
        <w:rPr>
          <w:rFonts w:ascii="Arial" w:hAnsi="Arial" w:cs="Arial"/>
          <w:sz w:val="24"/>
          <w:szCs w:val="24"/>
        </w:rPr>
        <w:t xml:space="preserve">El comportamiento del sistema financiero en México ha sido uno de sano desarrollo en términos generales: los diferentes indicadores como el Índice de Capitalización o el nivel de morosidad demuestran que las acciones tomadas y las normas instituidas han dado buenos resultados y su impacto en la economía ha sido positivo. Sin embargo aún existe rezago en lo que se refiere a la penetración y la inclusión financiera, como se puede ver en el bajo porcentaje de la cartera de crédito con relación al PIB: poco más del 35% en 2017, de acuerdo a datos del Banco Mundial, así que cuando hacemos una comparación entre el cuarto trimestre del 2017 y el 2018 encontramos una clara desventaja que en cierta medida es normal en un año de elecciones ya que siempre que esto pasa los mercados tienden  a fluctuar de manera fuerte y el gobierno de México con la aplicación de política fiscal (IEPS) logro hacer que los déficits que se verían al final del año no afectaran tanto como se esperaba e incluso se pudo mantener el nivel de crecimiento esperado para el año que era del 2% absorbiendo de manera inteligente los déficits en sectores específicos como lo son la fluctuación petrolera, la perdida de capitales extranjeros a mediados del cuarto trimestre así como el bajar en el nivel de confianza en inversión a finales del cuarto trimestre. </w:t>
      </w:r>
    </w:p>
    <w:p w:rsidR="00A04726" w:rsidRPr="00DE71D2" w:rsidRDefault="00A04726" w:rsidP="00B92BA8">
      <w:pPr>
        <w:spacing w:line="276" w:lineRule="auto"/>
        <w:jc w:val="both"/>
        <w:rPr>
          <w:rFonts w:ascii="Arial" w:hAnsi="Arial" w:cs="Arial"/>
          <w:sz w:val="24"/>
          <w:szCs w:val="24"/>
        </w:rPr>
      </w:pPr>
      <w:r w:rsidRPr="00DE71D2">
        <w:rPr>
          <w:rFonts w:ascii="Arial" w:hAnsi="Arial" w:cs="Arial"/>
          <w:sz w:val="24"/>
          <w:szCs w:val="24"/>
        </w:rPr>
        <w:t>Cabe mencionar que si el país va a mantener la tasa de referencia arriba del 6% estos capitales se mantendrán estables pero el nivel de empleo y salarial seguirán en decremento como ha pasado durante los últimos 10 años, aumentando la tasa de empleo informal en México que se vio con 3.3% más durante el tercer trimestre del 2018 y que se vio nutrida con los despidos masivos presentados durante el inicio de la administración de</w:t>
      </w:r>
      <w:r w:rsidR="00DD76CF" w:rsidRPr="00DE71D2">
        <w:rPr>
          <w:rFonts w:ascii="Arial" w:hAnsi="Arial" w:cs="Arial"/>
          <w:sz w:val="24"/>
          <w:szCs w:val="24"/>
        </w:rPr>
        <w:t>l Licenciado</w:t>
      </w:r>
      <w:r w:rsidRPr="00DE71D2">
        <w:rPr>
          <w:rFonts w:ascii="Arial" w:hAnsi="Arial" w:cs="Arial"/>
          <w:sz w:val="24"/>
          <w:szCs w:val="24"/>
        </w:rPr>
        <w:t xml:space="preserve"> Andrés Manuel López Obrador. </w:t>
      </w:r>
    </w:p>
    <w:p w:rsidR="00A04726" w:rsidRPr="00DE71D2" w:rsidRDefault="00A04726" w:rsidP="00B92BA8">
      <w:pPr>
        <w:spacing w:line="276" w:lineRule="auto"/>
        <w:jc w:val="both"/>
        <w:rPr>
          <w:rFonts w:ascii="Arial" w:hAnsi="Arial" w:cs="Arial"/>
          <w:sz w:val="24"/>
          <w:szCs w:val="24"/>
        </w:rPr>
      </w:pPr>
      <w:r w:rsidRPr="00DE71D2">
        <w:rPr>
          <w:rFonts w:ascii="Arial" w:hAnsi="Arial" w:cs="Arial"/>
          <w:sz w:val="24"/>
          <w:szCs w:val="24"/>
        </w:rPr>
        <w:t xml:space="preserve">Uno de los problemas generales que se tiene es que el crecimiento esperado debería ser mucho más alto ya que nuestra tasa de crecimiento no se ve reflejada </w:t>
      </w:r>
      <w:r w:rsidR="000269C0" w:rsidRPr="00DE71D2">
        <w:rPr>
          <w:rFonts w:ascii="Arial" w:hAnsi="Arial" w:cs="Arial"/>
          <w:sz w:val="24"/>
          <w:szCs w:val="24"/>
        </w:rPr>
        <w:t>en el</w:t>
      </w:r>
      <w:r w:rsidRPr="00DE71D2">
        <w:rPr>
          <w:rFonts w:ascii="Arial" w:hAnsi="Arial" w:cs="Arial"/>
          <w:sz w:val="24"/>
          <w:szCs w:val="24"/>
        </w:rPr>
        <w:t xml:space="preserve"> tipo de economía que tenemos ya que no hay un verdadero modelo que se </w:t>
      </w:r>
      <w:r w:rsidRPr="00DE71D2">
        <w:rPr>
          <w:rFonts w:ascii="Arial" w:hAnsi="Arial" w:cs="Arial"/>
          <w:sz w:val="24"/>
          <w:szCs w:val="24"/>
        </w:rPr>
        <w:lastRenderedPageBreak/>
        <w:t>esté aplicando actualmente, solo se está respondiendo a los efectos que da los merc</w:t>
      </w:r>
      <w:r w:rsidR="00F80CA9" w:rsidRPr="00DE71D2">
        <w:rPr>
          <w:rFonts w:ascii="Arial" w:hAnsi="Arial" w:cs="Arial"/>
          <w:sz w:val="24"/>
          <w:szCs w:val="24"/>
        </w:rPr>
        <w:t>ados internos e internacionales.</w:t>
      </w:r>
    </w:p>
    <w:p w:rsidR="00EA4A08" w:rsidRPr="00DE71D2" w:rsidRDefault="00EA4A08" w:rsidP="00EA4A08">
      <w:pPr>
        <w:spacing w:line="276" w:lineRule="auto"/>
        <w:jc w:val="both"/>
        <w:rPr>
          <w:rFonts w:ascii="Arial" w:hAnsi="Arial" w:cs="Arial"/>
          <w:sz w:val="24"/>
          <w:szCs w:val="24"/>
        </w:rPr>
      </w:pPr>
      <w:r w:rsidRPr="00DE71D2">
        <w:rPr>
          <w:rFonts w:ascii="Arial" w:hAnsi="Arial" w:cs="Arial"/>
          <w:sz w:val="24"/>
          <w:szCs w:val="24"/>
        </w:rPr>
        <w:t xml:space="preserve">Por otro lado, la deuda del Gobierno Federal comprende las </w:t>
      </w:r>
      <w:r w:rsidR="00D44B9C" w:rsidRPr="00DE71D2">
        <w:rPr>
          <w:rFonts w:ascii="Arial" w:hAnsi="Arial" w:cs="Arial"/>
          <w:sz w:val="24"/>
          <w:szCs w:val="24"/>
        </w:rPr>
        <w:t>obligaciones</w:t>
      </w:r>
      <w:r w:rsidRPr="00DE71D2">
        <w:rPr>
          <w:rFonts w:ascii="Arial" w:hAnsi="Arial" w:cs="Arial"/>
          <w:sz w:val="24"/>
          <w:szCs w:val="24"/>
        </w:rPr>
        <w:t xml:space="preserve"> de los poderes legislativo y judicial, las dependencias del Poder Ejecutivo Federal y sus órganos desconcentrados, así como las obligaciones contraídas por entidades que forman parte de la Administración Pública Federal paraestatal y que fueron transformadas en órganos autónomos.</w:t>
      </w:r>
    </w:p>
    <w:p w:rsidR="00A04726" w:rsidRPr="00DE71D2" w:rsidRDefault="00EA4A08" w:rsidP="00EA4A08">
      <w:pPr>
        <w:spacing w:line="276" w:lineRule="auto"/>
        <w:jc w:val="both"/>
        <w:rPr>
          <w:rFonts w:ascii="Arial" w:hAnsi="Arial" w:cs="Arial"/>
          <w:sz w:val="24"/>
          <w:szCs w:val="24"/>
        </w:rPr>
      </w:pPr>
      <w:r w:rsidRPr="00DE71D2">
        <w:rPr>
          <w:rFonts w:ascii="Arial" w:hAnsi="Arial" w:cs="Arial"/>
          <w:sz w:val="24"/>
          <w:szCs w:val="24"/>
        </w:rPr>
        <w:t>L</w:t>
      </w:r>
      <w:r w:rsidR="00725DD4" w:rsidRPr="00DE71D2">
        <w:rPr>
          <w:rFonts w:ascii="Arial" w:hAnsi="Arial" w:cs="Arial"/>
          <w:sz w:val="24"/>
          <w:szCs w:val="24"/>
        </w:rPr>
        <w:t xml:space="preserve">a </w:t>
      </w:r>
      <w:r w:rsidR="00931BF4" w:rsidRPr="00DE71D2">
        <w:rPr>
          <w:rFonts w:ascii="Arial" w:hAnsi="Arial" w:cs="Arial"/>
          <w:sz w:val="24"/>
          <w:szCs w:val="24"/>
        </w:rPr>
        <w:t>deuda pú</w:t>
      </w:r>
      <w:r w:rsidR="00725DD4" w:rsidRPr="00DE71D2">
        <w:rPr>
          <w:rFonts w:ascii="Arial" w:hAnsi="Arial" w:cs="Arial"/>
          <w:sz w:val="24"/>
          <w:szCs w:val="24"/>
        </w:rPr>
        <w:t>blica presenta un reporte de 3 indicadores:</w:t>
      </w:r>
    </w:p>
    <w:p w:rsidR="00725DD4" w:rsidRPr="00DE71D2" w:rsidRDefault="00725DD4" w:rsidP="00EA4A08">
      <w:pPr>
        <w:pStyle w:val="Prrafodelista"/>
        <w:numPr>
          <w:ilvl w:val="0"/>
          <w:numId w:val="4"/>
        </w:numPr>
        <w:spacing w:line="276" w:lineRule="auto"/>
        <w:jc w:val="both"/>
        <w:rPr>
          <w:rFonts w:ascii="Arial" w:hAnsi="Arial" w:cs="Arial"/>
          <w:sz w:val="24"/>
          <w:szCs w:val="24"/>
        </w:rPr>
      </w:pPr>
      <w:r w:rsidRPr="00DE71D2">
        <w:rPr>
          <w:rFonts w:ascii="Arial" w:hAnsi="Arial" w:cs="Arial"/>
          <w:sz w:val="24"/>
          <w:szCs w:val="24"/>
        </w:rPr>
        <w:t>Deuda del Gobierno Federal</w:t>
      </w:r>
    </w:p>
    <w:p w:rsidR="00725DD4" w:rsidRPr="00DE71D2" w:rsidRDefault="00EA4A08" w:rsidP="00EA4A08">
      <w:pPr>
        <w:pStyle w:val="Prrafodelista"/>
        <w:numPr>
          <w:ilvl w:val="0"/>
          <w:numId w:val="6"/>
        </w:numPr>
        <w:spacing w:line="276" w:lineRule="auto"/>
        <w:jc w:val="both"/>
        <w:rPr>
          <w:rFonts w:ascii="Arial" w:hAnsi="Arial" w:cs="Arial"/>
          <w:sz w:val="24"/>
          <w:szCs w:val="24"/>
        </w:rPr>
      </w:pPr>
      <w:r w:rsidRPr="00DE71D2">
        <w:rPr>
          <w:rFonts w:ascii="Arial" w:hAnsi="Arial" w:cs="Arial"/>
          <w:sz w:val="24"/>
          <w:szCs w:val="24"/>
        </w:rPr>
        <w:t xml:space="preserve">Obligaciones contratadas por el Gobierno Federal </w:t>
      </w:r>
    </w:p>
    <w:p w:rsidR="00725DD4" w:rsidRPr="00DE71D2" w:rsidRDefault="00725DD4" w:rsidP="00EA4A08">
      <w:pPr>
        <w:pStyle w:val="Prrafodelista"/>
        <w:numPr>
          <w:ilvl w:val="0"/>
          <w:numId w:val="3"/>
        </w:numPr>
        <w:spacing w:line="276" w:lineRule="auto"/>
        <w:jc w:val="both"/>
        <w:rPr>
          <w:rFonts w:ascii="Arial" w:hAnsi="Arial" w:cs="Arial"/>
          <w:sz w:val="24"/>
          <w:szCs w:val="24"/>
        </w:rPr>
      </w:pPr>
      <w:r w:rsidRPr="00DE71D2">
        <w:rPr>
          <w:rFonts w:ascii="Arial" w:hAnsi="Arial" w:cs="Arial"/>
          <w:sz w:val="24"/>
          <w:szCs w:val="24"/>
        </w:rPr>
        <w:t>Deuda del Sector Publico</w:t>
      </w:r>
    </w:p>
    <w:p w:rsidR="00EA4A08" w:rsidRPr="00DE71D2" w:rsidRDefault="00EA4A08" w:rsidP="00EA4A08">
      <w:pPr>
        <w:pStyle w:val="Prrafodelista"/>
        <w:numPr>
          <w:ilvl w:val="0"/>
          <w:numId w:val="6"/>
        </w:numPr>
        <w:spacing w:line="276" w:lineRule="auto"/>
        <w:jc w:val="both"/>
        <w:rPr>
          <w:rFonts w:ascii="Arial" w:hAnsi="Arial" w:cs="Arial"/>
          <w:sz w:val="24"/>
          <w:szCs w:val="24"/>
        </w:rPr>
      </w:pPr>
      <w:r w:rsidRPr="00DE71D2">
        <w:rPr>
          <w:rFonts w:ascii="Arial" w:hAnsi="Arial" w:cs="Arial"/>
          <w:sz w:val="24"/>
          <w:szCs w:val="24"/>
        </w:rPr>
        <w:t xml:space="preserve">Endeudamiento del Gobierno Federal, Empresas Productivas del Estado y Banca de Desarrollo </w:t>
      </w:r>
    </w:p>
    <w:p w:rsidR="00725DD4" w:rsidRPr="00DE71D2" w:rsidRDefault="00725DD4" w:rsidP="00EA4A08">
      <w:pPr>
        <w:pStyle w:val="Prrafodelista"/>
        <w:numPr>
          <w:ilvl w:val="0"/>
          <w:numId w:val="3"/>
        </w:numPr>
        <w:spacing w:line="276" w:lineRule="auto"/>
        <w:jc w:val="both"/>
        <w:rPr>
          <w:rFonts w:ascii="Arial" w:hAnsi="Arial" w:cs="Arial"/>
          <w:sz w:val="24"/>
          <w:szCs w:val="24"/>
        </w:rPr>
      </w:pPr>
      <w:r w:rsidRPr="00DE71D2">
        <w:rPr>
          <w:rFonts w:ascii="Arial" w:hAnsi="Arial" w:cs="Arial"/>
          <w:sz w:val="24"/>
          <w:szCs w:val="24"/>
        </w:rPr>
        <w:t>Saldo histórico de los RFSP</w:t>
      </w:r>
    </w:p>
    <w:p w:rsidR="00EA4A08" w:rsidRPr="00DE71D2" w:rsidRDefault="00EA4A08" w:rsidP="00EA4A08">
      <w:pPr>
        <w:pStyle w:val="Prrafodelista"/>
        <w:numPr>
          <w:ilvl w:val="0"/>
          <w:numId w:val="6"/>
        </w:numPr>
        <w:spacing w:line="276" w:lineRule="auto"/>
        <w:jc w:val="both"/>
        <w:rPr>
          <w:rFonts w:ascii="Arial" w:hAnsi="Arial" w:cs="Arial"/>
          <w:sz w:val="24"/>
          <w:szCs w:val="24"/>
        </w:rPr>
      </w:pPr>
      <w:r w:rsidRPr="00DE71D2">
        <w:rPr>
          <w:rFonts w:ascii="Arial" w:hAnsi="Arial" w:cs="Arial"/>
          <w:sz w:val="24"/>
          <w:szCs w:val="24"/>
        </w:rPr>
        <w:t>Concepto más amplio de la deuda pública, al incluir todos los instrumentos de política pública que pudieran implicar endeudamiento a cargo del Sector Público</w:t>
      </w:r>
    </w:p>
    <w:p w:rsidR="001B099E" w:rsidRPr="00DE71D2" w:rsidRDefault="001B099E" w:rsidP="001B099E">
      <w:pPr>
        <w:spacing w:line="276" w:lineRule="auto"/>
        <w:jc w:val="both"/>
        <w:rPr>
          <w:rFonts w:ascii="Arial" w:hAnsi="Arial" w:cs="Arial"/>
          <w:sz w:val="24"/>
          <w:szCs w:val="24"/>
        </w:rPr>
      </w:pPr>
      <w:r w:rsidRPr="00DE71D2">
        <w:rPr>
          <w:rFonts w:ascii="Arial" w:hAnsi="Arial" w:cs="Arial"/>
          <w:sz w:val="24"/>
          <w:szCs w:val="24"/>
        </w:rPr>
        <w:t>Al cierre del cuarto trimestre de 2018, el monto de la deuda neta del Sector Público Federal (Gobierno Federal, empresas productivas del Estado y la banca de desarrollo), se situó en 10 billones 829 mil 906.6 millones de pesos. En los Apéndices Estadísticos de Finanzas Públicas y Deuda Pública se presentan los cuadros del I.42 al I.53 donde se podrá consultar en detalle el comportamiento de la deuda del Sector Público Federal.</w:t>
      </w:r>
    </w:p>
    <w:p w:rsidR="001B099E" w:rsidRPr="00DE71D2" w:rsidRDefault="001B099E" w:rsidP="001B099E">
      <w:pPr>
        <w:spacing w:line="276" w:lineRule="auto"/>
        <w:jc w:val="center"/>
        <w:rPr>
          <w:rFonts w:ascii="Arial" w:hAnsi="Arial" w:cs="Arial"/>
          <w:sz w:val="24"/>
          <w:szCs w:val="24"/>
        </w:rPr>
      </w:pPr>
      <w:r w:rsidRPr="00DE71D2">
        <w:rPr>
          <w:rFonts w:ascii="Arial" w:hAnsi="Arial" w:cs="Arial"/>
          <w:noProof/>
          <w:sz w:val="24"/>
          <w:szCs w:val="24"/>
          <w:lang w:eastAsia="es-MX"/>
        </w:rPr>
        <w:drawing>
          <wp:inline distT="0" distB="0" distL="0" distR="0" wp14:anchorId="4E11DCBC" wp14:editId="4795D191">
            <wp:extent cx="4554855" cy="30380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399" t="33796" r="31602" b="20640"/>
                    <a:stretch/>
                  </pic:blipFill>
                  <pic:spPr bwMode="auto">
                    <a:xfrm>
                      <a:off x="0" y="0"/>
                      <a:ext cx="4585118" cy="3058230"/>
                    </a:xfrm>
                    <a:prstGeom prst="rect">
                      <a:avLst/>
                    </a:prstGeom>
                    <a:ln>
                      <a:noFill/>
                    </a:ln>
                    <a:extLst>
                      <a:ext uri="{53640926-AAD7-44D8-BBD7-CCE9431645EC}">
                        <a14:shadowObscured xmlns:a14="http://schemas.microsoft.com/office/drawing/2010/main"/>
                      </a:ext>
                    </a:extLst>
                  </pic:spPr>
                </pic:pic>
              </a:graphicData>
            </a:graphic>
          </wp:inline>
        </w:drawing>
      </w:r>
    </w:p>
    <w:p w:rsidR="001B099E" w:rsidRPr="00DE71D2" w:rsidRDefault="00EA4A08" w:rsidP="00EA4A08">
      <w:pPr>
        <w:spacing w:line="276" w:lineRule="auto"/>
        <w:jc w:val="both"/>
        <w:rPr>
          <w:rFonts w:ascii="Arial" w:hAnsi="Arial" w:cs="Arial"/>
          <w:sz w:val="24"/>
          <w:szCs w:val="24"/>
        </w:rPr>
      </w:pPr>
      <w:r w:rsidRPr="00DE71D2">
        <w:rPr>
          <w:rFonts w:ascii="Arial" w:hAnsi="Arial" w:cs="Arial"/>
          <w:sz w:val="24"/>
          <w:szCs w:val="24"/>
        </w:rPr>
        <w:lastRenderedPageBreak/>
        <w:t>Durante el cuarto trimestre de 2018, el entorno financiero internacional estuvo sujeto a un escalamiento de las disputas comerciales y un deterioro en las condiciones financieras globales, lo que originó condiciones de volatilidad en los mercados financieros internacionales</w:t>
      </w:r>
      <w:r w:rsidR="00931BF4" w:rsidRPr="00DE71D2">
        <w:rPr>
          <w:rFonts w:ascii="Arial" w:hAnsi="Arial" w:cs="Arial"/>
          <w:sz w:val="24"/>
          <w:szCs w:val="24"/>
        </w:rPr>
        <w:t>.</w:t>
      </w:r>
    </w:p>
    <w:p w:rsidR="00931BF4" w:rsidRPr="00DE71D2" w:rsidRDefault="00931BF4" w:rsidP="00EA4A08">
      <w:pPr>
        <w:spacing w:line="276" w:lineRule="auto"/>
        <w:jc w:val="both"/>
        <w:rPr>
          <w:rFonts w:ascii="Arial" w:hAnsi="Arial" w:cs="Arial"/>
          <w:sz w:val="24"/>
          <w:szCs w:val="24"/>
        </w:rPr>
      </w:pPr>
      <w:r w:rsidRPr="00DE71D2">
        <w:rPr>
          <w:rFonts w:ascii="Arial" w:hAnsi="Arial" w:cs="Arial"/>
          <w:sz w:val="24"/>
          <w:szCs w:val="24"/>
        </w:rPr>
        <w:t>En materia de deuda externa, durante el 2018se realizaron tres colocaciones de deuda por un monto total aproximado de 6 mil 260 millones de dólares en los mercados de dólares, euros y yenes.</w:t>
      </w:r>
    </w:p>
    <w:p w:rsidR="00931BF4" w:rsidRPr="00DE71D2" w:rsidRDefault="00931BF4" w:rsidP="00EA4A08">
      <w:pPr>
        <w:spacing w:line="276" w:lineRule="auto"/>
        <w:jc w:val="both"/>
        <w:rPr>
          <w:rFonts w:ascii="Arial" w:hAnsi="Arial" w:cs="Arial"/>
          <w:sz w:val="24"/>
          <w:szCs w:val="24"/>
        </w:rPr>
      </w:pPr>
      <w:r w:rsidRPr="00DE71D2">
        <w:rPr>
          <w:rFonts w:ascii="Arial" w:hAnsi="Arial" w:cs="Arial"/>
          <w:sz w:val="24"/>
          <w:szCs w:val="24"/>
        </w:rPr>
        <w:t>Al cierre del cuarto trimestre de 2018, la deuda neta del Gobierno Federal se ubicó en 8 billones 87m mil 259.4 millones de pesos, mantiene la mayor parte de sus pasivos denominados en moneda nacional, representando el 31 de diciembre de 2018 el 76.7 por ciento del saldo de la deuda neta del Gobierno Federal.</w:t>
      </w:r>
    </w:p>
    <w:p w:rsidR="00931BF4" w:rsidRPr="00DE71D2" w:rsidRDefault="00931BF4" w:rsidP="00EA4A08">
      <w:pPr>
        <w:spacing w:line="276" w:lineRule="auto"/>
        <w:jc w:val="both"/>
        <w:rPr>
          <w:rFonts w:ascii="Arial" w:hAnsi="Arial" w:cs="Arial"/>
          <w:sz w:val="24"/>
          <w:szCs w:val="24"/>
        </w:rPr>
      </w:pPr>
      <w:r w:rsidRPr="00DE71D2">
        <w:rPr>
          <w:rFonts w:ascii="Arial" w:hAnsi="Arial" w:cs="Arial"/>
          <w:sz w:val="24"/>
          <w:szCs w:val="24"/>
        </w:rPr>
        <w:t xml:space="preserve">Así mismo; el saldo de la deuda interna neta del Gobierno Federal </w:t>
      </w:r>
      <w:r w:rsidR="00D44B9C" w:rsidRPr="00DE71D2">
        <w:rPr>
          <w:rFonts w:ascii="Arial" w:hAnsi="Arial" w:cs="Arial"/>
          <w:sz w:val="24"/>
          <w:szCs w:val="24"/>
        </w:rPr>
        <w:t>ascendió a 6 bi</w:t>
      </w:r>
      <w:r w:rsidRPr="00DE71D2">
        <w:rPr>
          <w:rFonts w:ascii="Arial" w:hAnsi="Arial" w:cs="Arial"/>
          <w:sz w:val="24"/>
          <w:szCs w:val="24"/>
        </w:rPr>
        <w:t>llones 203 mil 635.4 millones de pesos.</w:t>
      </w:r>
    </w:p>
    <w:p w:rsidR="00D44B9C" w:rsidRPr="00DE71D2" w:rsidRDefault="00D44B9C" w:rsidP="00EA4A08">
      <w:pPr>
        <w:spacing w:line="276" w:lineRule="auto"/>
        <w:jc w:val="both"/>
        <w:rPr>
          <w:rFonts w:ascii="Arial" w:hAnsi="Arial" w:cs="Arial"/>
          <w:sz w:val="24"/>
          <w:szCs w:val="24"/>
        </w:rPr>
      </w:pPr>
      <w:r w:rsidRPr="00DE71D2">
        <w:rPr>
          <w:rFonts w:ascii="Arial" w:hAnsi="Arial" w:cs="Arial"/>
          <w:sz w:val="24"/>
          <w:szCs w:val="24"/>
        </w:rPr>
        <w:t>Sin olvidar; que el saldo de la deuda externa neta del gobierno Federal fue de 95 mil 698.5 millones de dólares. El decremento de los activos internacionales del Gobierno Federal asociados a la deuda externa por 299.9 millones de dólares con respecto al cierre del 2017 y este cambio de debe a la variación negativa en el saldo neto denominado en dólares de la Cuenta General de la Tesorería de la Federación.</w:t>
      </w:r>
    </w:p>
    <w:p w:rsidR="00F52B61" w:rsidRPr="00DE71D2" w:rsidRDefault="00F52B61" w:rsidP="00EA4A08">
      <w:pPr>
        <w:spacing w:line="276" w:lineRule="auto"/>
        <w:jc w:val="both"/>
        <w:rPr>
          <w:rFonts w:ascii="Arial" w:hAnsi="Arial" w:cs="Arial"/>
          <w:sz w:val="24"/>
          <w:szCs w:val="24"/>
        </w:rPr>
      </w:pPr>
      <w:r w:rsidRPr="00DE71D2">
        <w:rPr>
          <w:rFonts w:ascii="Arial" w:hAnsi="Arial" w:cs="Arial"/>
          <w:sz w:val="24"/>
          <w:szCs w:val="24"/>
        </w:rPr>
        <w:t xml:space="preserve">En cuanto a la Inflación se puede decir que, durante el cuarto trimestre de 2018, la inflación general anual registró una disminución respecto de los niveles observados a finales de 2017, ello como resultado de reducciones tanto en la inflación subyacente como en la no subyacente. </w:t>
      </w:r>
      <w:r w:rsidRPr="00DE71D2">
        <w:rPr>
          <w:rFonts w:ascii="Arial" w:hAnsi="Arial" w:cs="Arial"/>
          <w:sz w:val="24"/>
          <w:szCs w:val="24"/>
        </w:rPr>
        <w:br/>
        <w:t xml:space="preserve">La inflación general anual pasó de 6.77 por ciento en diciembre de 2017 a 4.83 por ciento en diciembre de 2018. Entre octubre y diciembre, la inflación anual se ubicó por debajo del cierre de 2017 y del promedio del tercer trimestre de 2018, mostrando una tendencia decreciente debido, principalmente, a una disminución de los precios de las referencias internacionales de los productos energéticos, en particular del gas doméstico LP. Durante el cuarto trimestre de 2018, la inflación subyacente anual pasó de 3.67 por ciento en septiembre a 3.68 por ciento en diciembre, lo que representó un incremento de 1 punto base. </w:t>
      </w:r>
    </w:p>
    <w:p w:rsidR="00F52B61" w:rsidRPr="00DE71D2" w:rsidRDefault="00F52B61" w:rsidP="00EA4A08">
      <w:pPr>
        <w:spacing w:line="276" w:lineRule="auto"/>
        <w:jc w:val="both"/>
        <w:rPr>
          <w:rFonts w:ascii="Arial" w:hAnsi="Arial" w:cs="Arial"/>
          <w:sz w:val="24"/>
          <w:szCs w:val="24"/>
        </w:rPr>
      </w:pPr>
      <w:r w:rsidRPr="00DE71D2">
        <w:rPr>
          <w:rFonts w:ascii="Arial" w:hAnsi="Arial" w:cs="Arial"/>
          <w:sz w:val="24"/>
          <w:szCs w:val="24"/>
        </w:rPr>
        <w:t>Lo anterior se debió a la baja registrada en el subíndice de mercancías (de 3.95 de variación anual en septiembre a 3.92 en diciembre), al tiempo que la inflación de servicios aumentó de 3.38 por ciento a 3.47 en diciembre. La inflación subyacente se mantuvo relativamente estable a tasa anual durante el tercer y cuarto trimestre de 2018 por la estabilidad del crecimiento de sus componentes, principalmente, de los precios de vivienda propia, servicio de telefonía móvil, mantenimiento de automóvil, azúcar y agua embotellada.</w:t>
      </w:r>
    </w:p>
    <w:p w:rsidR="00F52B61" w:rsidRPr="00DE71D2" w:rsidRDefault="00F52B61" w:rsidP="00F52B61">
      <w:pPr>
        <w:spacing w:line="276" w:lineRule="auto"/>
        <w:jc w:val="center"/>
        <w:rPr>
          <w:rFonts w:ascii="Arial" w:hAnsi="Arial" w:cs="Arial"/>
          <w:sz w:val="24"/>
          <w:szCs w:val="24"/>
        </w:rPr>
      </w:pPr>
      <w:r w:rsidRPr="00DE71D2">
        <w:rPr>
          <w:rFonts w:ascii="Arial" w:hAnsi="Arial" w:cs="Arial"/>
          <w:noProof/>
          <w:sz w:val="24"/>
          <w:szCs w:val="24"/>
          <w:lang w:eastAsia="es-MX"/>
        </w:rPr>
        <w:lastRenderedPageBreak/>
        <w:drawing>
          <wp:inline distT="0" distB="0" distL="0" distR="0" wp14:anchorId="7CF8EC19" wp14:editId="5E223E01">
            <wp:extent cx="4438650" cy="357376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550" t="34773" r="30923" b="10078"/>
                    <a:stretch/>
                  </pic:blipFill>
                  <pic:spPr bwMode="auto">
                    <a:xfrm>
                      <a:off x="0" y="0"/>
                      <a:ext cx="4451673" cy="3584251"/>
                    </a:xfrm>
                    <a:prstGeom prst="rect">
                      <a:avLst/>
                    </a:prstGeom>
                    <a:ln>
                      <a:noFill/>
                    </a:ln>
                    <a:extLst>
                      <a:ext uri="{53640926-AAD7-44D8-BBD7-CCE9431645EC}">
                        <a14:shadowObscured xmlns:a14="http://schemas.microsoft.com/office/drawing/2010/main"/>
                      </a:ext>
                    </a:extLst>
                  </pic:spPr>
                </pic:pic>
              </a:graphicData>
            </a:graphic>
          </wp:inline>
        </w:drawing>
      </w:r>
    </w:p>
    <w:p w:rsidR="00D44B9C" w:rsidRPr="00DE71D2" w:rsidRDefault="00D44B9C" w:rsidP="00EA4A08">
      <w:pPr>
        <w:spacing w:line="276" w:lineRule="auto"/>
        <w:jc w:val="both"/>
        <w:rPr>
          <w:rFonts w:ascii="Arial" w:hAnsi="Arial" w:cs="Arial"/>
          <w:sz w:val="24"/>
          <w:szCs w:val="24"/>
        </w:rPr>
      </w:pPr>
      <w:r w:rsidRPr="00DE71D2">
        <w:rPr>
          <w:rFonts w:ascii="Arial" w:hAnsi="Arial" w:cs="Arial"/>
          <w:sz w:val="24"/>
          <w:szCs w:val="24"/>
        </w:rPr>
        <w:t>El Saldo Histórico de los Requerimientos Financieros del Sector Público (SHRFSP) representa el acervo neto de las obligaciones contraídas para alcanzar los objetivos de las políticas públicas, tanto en entidades adscritas al Sector Público como de las entidades privadas que actúan por cuenta del Gobierno Federal; en otras palabras, pasivos menos activos financieros disponibles, por concesión de préstamos y fondos para la amortización de la deuda.</w:t>
      </w:r>
    </w:p>
    <w:p w:rsidR="00D44B9C" w:rsidRPr="00DE71D2" w:rsidRDefault="00D44B9C" w:rsidP="00EA4A08">
      <w:pPr>
        <w:spacing w:line="276" w:lineRule="auto"/>
        <w:jc w:val="both"/>
        <w:rPr>
          <w:rFonts w:ascii="Arial" w:hAnsi="Arial" w:cs="Arial"/>
          <w:sz w:val="24"/>
          <w:szCs w:val="24"/>
        </w:rPr>
      </w:pPr>
    </w:p>
    <w:p w:rsidR="00931BF4" w:rsidRPr="00DE71D2" w:rsidRDefault="00931BF4" w:rsidP="00EA4A08">
      <w:pPr>
        <w:spacing w:line="276" w:lineRule="auto"/>
        <w:jc w:val="both"/>
        <w:rPr>
          <w:rFonts w:ascii="Arial" w:hAnsi="Arial" w:cs="Arial"/>
          <w:sz w:val="24"/>
          <w:szCs w:val="24"/>
        </w:rPr>
      </w:pPr>
    </w:p>
    <w:p w:rsidR="0007353B" w:rsidRPr="00DE71D2" w:rsidRDefault="00EE586A" w:rsidP="000269C0">
      <w:pPr>
        <w:spacing w:line="360" w:lineRule="auto"/>
        <w:jc w:val="center"/>
        <w:rPr>
          <w:rFonts w:ascii="Arial" w:eastAsia="Times New Roman" w:hAnsi="Arial" w:cs="Arial"/>
          <w:sz w:val="24"/>
          <w:szCs w:val="24"/>
          <w:lang w:eastAsia="es-MX"/>
        </w:rPr>
      </w:pPr>
      <w:r w:rsidRPr="00DE71D2">
        <w:rPr>
          <w:rFonts w:ascii="Arial" w:hAnsi="Arial" w:cs="Arial"/>
          <w:noProof/>
          <w:sz w:val="24"/>
          <w:szCs w:val="24"/>
          <w:lang w:eastAsia="es-MX"/>
        </w:rPr>
        <w:lastRenderedPageBreak/>
        <w:drawing>
          <wp:inline distT="0" distB="0" distL="0" distR="0">
            <wp:extent cx="3525492" cy="3076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0516" cy="3080959"/>
                    </a:xfrm>
                    <a:prstGeom prst="rect">
                      <a:avLst/>
                    </a:prstGeom>
                    <a:noFill/>
                    <a:ln>
                      <a:noFill/>
                    </a:ln>
                  </pic:spPr>
                </pic:pic>
              </a:graphicData>
            </a:graphic>
          </wp:inline>
        </w:drawing>
      </w:r>
      <w:r w:rsidR="00A04726" w:rsidRPr="00DE71D2">
        <w:rPr>
          <w:rStyle w:val="Refdenotaalpie"/>
          <w:rFonts w:ascii="Arial" w:hAnsi="Arial" w:cs="Arial"/>
          <w:sz w:val="24"/>
          <w:szCs w:val="24"/>
        </w:rPr>
        <w:footnoteReference w:id="5"/>
      </w:r>
    </w:p>
    <w:p w:rsidR="00D44B9C" w:rsidRPr="00DE71D2" w:rsidRDefault="00A80A24" w:rsidP="00F52B61">
      <w:pPr>
        <w:spacing w:line="276" w:lineRule="auto"/>
        <w:jc w:val="both"/>
        <w:rPr>
          <w:rFonts w:ascii="Arial" w:eastAsia="Times New Roman" w:hAnsi="Arial" w:cs="Arial"/>
          <w:sz w:val="24"/>
          <w:szCs w:val="24"/>
          <w:lang w:eastAsia="es-MX"/>
        </w:rPr>
      </w:pPr>
      <w:r w:rsidRPr="00DE71D2">
        <w:rPr>
          <w:rFonts w:ascii="Arial" w:eastAsia="Times New Roman" w:hAnsi="Arial" w:cs="Arial"/>
          <w:sz w:val="24"/>
          <w:szCs w:val="24"/>
          <w:lang w:eastAsia="es-MX"/>
        </w:rPr>
        <w:t>En enero se dio a conocer el Plan Anual de Financiamiento (PAF), el cual presentó la política de deuda pública del Gobierno Federal y de las principales entidades que componen el Sector Público. En particular las empresas productivas del estado (Pemex y CFE), de la Banca de Desarrollo y de otros emisores recurrentes del Sector Público.</w:t>
      </w:r>
    </w:p>
    <w:p w:rsidR="00A80A24" w:rsidRPr="00DE71D2" w:rsidRDefault="00A80A24" w:rsidP="00F52B61">
      <w:pPr>
        <w:spacing w:line="276" w:lineRule="auto"/>
        <w:jc w:val="both"/>
        <w:rPr>
          <w:rFonts w:ascii="Arial" w:eastAsia="Times New Roman" w:hAnsi="Arial" w:cs="Arial"/>
          <w:sz w:val="24"/>
          <w:szCs w:val="24"/>
          <w:lang w:eastAsia="es-MX"/>
        </w:rPr>
      </w:pPr>
      <w:r w:rsidRPr="00DE71D2">
        <w:rPr>
          <w:rFonts w:ascii="Arial" w:eastAsia="Times New Roman" w:hAnsi="Arial" w:cs="Arial"/>
          <w:sz w:val="24"/>
          <w:szCs w:val="24"/>
          <w:lang w:eastAsia="es-MX"/>
        </w:rPr>
        <w:t>La Política de crédito publico para 2019 tendrá como objetivo cubrir las necesidades de financiamiento del Gobierno Federal al menor costo posible, manteniendo un nivel de riesgo adecuado a las características de las finanzas públicas del país y buscando un manejo de liquidez eficiente del Gobierno Federal.</w:t>
      </w:r>
    </w:p>
    <w:p w:rsidR="00A80A24" w:rsidRPr="00DE71D2" w:rsidRDefault="00A80A24" w:rsidP="00D44B9C">
      <w:pPr>
        <w:spacing w:line="360" w:lineRule="auto"/>
        <w:jc w:val="both"/>
        <w:rPr>
          <w:rFonts w:ascii="Arial" w:eastAsia="Times New Roman" w:hAnsi="Arial" w:cs="Arial"/>
          <w:sz w:val="24"/>
          <w:szCs w:val="24"/>
          <w:lang w:eastAsia="es-MX"/>
        </w:rPr>
      </w:pPr>
    </w:p>
    <w:p w:rsidR="00DE71D2" w:rsidRPr="00DE71D2" w:rsidRDefault="00DE71D2" w:rsidP="00D44B9C">
      <w:pPr>
        <w:spacing w:line="360" w:lineRule="auto"/>
        <w:jc w:val="both"/>
        <w:rPr>
          <w:rFonts w:ascii="Arial" w:eastAsia="Times New Roman" w:hAnsi="Arial" w:cs="Arial"/>
          <w:sz w:val="24"/>
          <w:szCs w:val="24"/>
          <w:lang w:eastAsia="es-MX"/>
        </w:rPr>
      </w:pPr>
    </w:p>
    <w:p w:rsidR="00DE71D2" w:rsidRPr="00DE71D2" w:rsidRDefault="00DE71D2" w:rsidP="00D44B9C">
      <w:pPr>
        <w:spacing w:line="360" w:lineRule="auto"/>
        <w:jc w:val="both"/>
        <w:rPr>
          <w:rFonts w:ascii="Arial" w:eastAsia="Times New Roman" w:hAnsi="Arial" w:cs="Arial"/>
          <w:sz w:val="24"/>
          <w:szCs w:val="24"/>
          <w:lang w:eastAsia="es-MX"/>
        </w:rPr>
      </w:pPr>
    </w:p>
    <w:p w:rsidR="00DE71D2" w:rsidRPr="00DE71D2" w:rsidRDefault="00DE71D2" w:rsidP="00D44B9C">
      <w:pPr>
        <w:spacing w:line="360" w:lineRule="auto"/>
        <w:jc w:val="both"/>
        <w:rPr>
          <w:rFonts w:ascii="Arial" w:eastAsia="Times New Roman" w:hAnsi="Arial" w:cs="Arial"/>
          <w:sz w:val="24"/>
          <w:szCs w:val="24"/>
          <w:lang w:eastAsia="es-MX"/>
        </w:rPr>
      </w:pPr>
    </w:p>
    <w:p w:rsidR="00DE71D2" w:rsidRPr="00DE71D2" w:rsidRDefault="00DE71D2" w:rsidP="00D44B9C">
      <w:pPr>
        <w:spacing w:line="360" w:lineRule="auto"/>
        <w:jc w:val="both"/>
        <w:rPr>
          <w:rFonts w:ascii="Arial" w:eastAsia="Times New Roman" w:hAnsi="Arial" w:cs="Arial"/>
          <w:sz w:val="24"/>
          <w:szCs w:val="24"/>
          <w:lang w:eastAsia="es-MX"/>
        </w:rPr>
      </w:pPr>
    </w:p>
    <w:p w:rsidR="00DE71D2" w:rsidRPr="00DE71D2" w:rsidRDefault="00DE71D2" w:rsidP="00D44B9C">
      <w:pPr>
        <w:spacing w:line="360" w:lineRule="auto"/>
        <w:jc w:val="both"/>
        <w:rPr>
          <w:rFonts w:ascii="Arial" w:eastAsia="Times New Roman" w:hAnsi="Arial" w:cs="Arial"/>
          <w:sz w:val="24"/>
          <w:szCs w:val="24"/>
          <w:lang w:eastAsia="es-MX"/>
        </w:rPr>
      </w:pPr>
    </w:p>
    <w:p w:rsidR="00DE71D2" w:rsidRPr="00DE71D2" w:rsidRDefault="00DE71D2" w:rsidP="00D44B9C">
      <w:pPr>
        <w:spacing w:line="360" w:lineRule="auto"/>
        <w:jc w:val="both"/>
        <w:rPr>
          <w:rFonts w:ascii="Arial" w:eastAsia="Times New Roman" w:hAnsi="Arial" w:cs="Arial"/>
          <w:sz w:val="24"/>
          <w:szCs w:val="24"/>
          <w:lang w:eastAsia="es-MX"/>
        </w:rPr>
      </w:pPr>
    </w:p>
    <w:p w:rsidR="00DE71D2" w:rsidRPr="00DE71D2" w:rsidRDefault="00DE71D2" w:rsidP="00DE71D2">
      <w:pPr>
        <w:spacing w:line="360" w:lineRule="auto"/>
        <w:jc w:val="center"/>
        <w:rPr>
          <w:rFonts w:ascii="Arial" w:eastAsia="Times New Roman" w:hAnsi="Arial" w:cs="Arial"/>
          <w:b/>
          <w:sz w:val="24"/>
          <w:szCs w:val="24"/>
          <w:lang w:eastAsia="es-MX"/>
        </w:rPr>
      </w:pPr>
      <w:r w:rsidRPr="00DE71D2">
        <w:rPr>
          <w:rFonts w:ascii="Arial" w:eastAsia="Times New Roman" w:hAnsi="Arial" w:cs="Arial"/>
          <w:b/>
          <w:sz w:val="24"/>
          <w:szCs w:val="24"/>
          <w:lang w:eastAsia="es-MX"/>
        </w:rPr>
        <w:lastRenderedPageBreak/>
        <w:t>CONCLUSIONES</w:t>
      </w:r>
    </w:p>
    <w:p w:rsidR="00DE71D2" w:rsidRPr="00DE71D2" w:rsidRDefault="00DE71D2" w:rsidP="00DE71D2">
      <w:pPr>
        <w:spacing w:line="240" w:lineRule="auto"/>
        <w:jc w:val="both"/>
        <w:rPr>
          <w:rFonts w:ascii="Arial" w:hAnsi="Arial" w:cs="Arial"/>
          <w:color w:val="000000" w:themeColor="text1"/>
          <w:sz w:val="24"/>
          <w:szCs w:val="24"/>
          <w:lang w:eastAsia="es-MX"/>
        </w:rPr>
      </w:pPr>
      <w:r w:rsidRPr="00DE71D2">
        <w:rPr>
          <w:rFonts w:ascii="Arial" w:hAnsi="Arial" w:cs="Arial"/>
          <w:color w:val="000000" w:themeColor="text1"/>
          <w:sz w:val="24"/>
          <w:szCs w:val="24"/>
          <w:lang w:eastAsia="es-MX"/>
        </w:rPr>
        <w:t>En 2018, las finanzas públicas de México registraron </w:t>
      </w:r>
      <w:r w:rsidRPr="00DE71D2">
        <w:rPr>
          <w:rFonts w:ascii="Arial" w:hAnsi="Arial" w:cs="Arial"/>
          <w:bCs/>
          <w:color w:val="000000" w:themeColor="text1"/>
          <w:sz w:val="24"/>
          <w:szCs w:val="24"/>
          <w:lang w:eastAsia="es-MX"/>
        </w:rPr>
        <w:t>un superávit</w:t>
      </w:r>
      <w:r w:rsidRPr="00DE71D2">
        <w:rPr>
          <w:rFonts w:ascii="Arial" w:hAnsi="Arial" w:cs="Arial"/>
          <w:color w:val="000000" w:themeColor="text1"/>
          <w:sz w:val="24"/>
          <w:szCs w:val="24"/>
          <w:lang w:eastAsia="es-MX"/>
        </w:rPr>
        <w:t> en su balance primario (ingresos menos gastos, excluyendo intereses) por segundo año consecutivo, pero fue menor a lo previsto por el gobierno federal.</w:t>
      </w:r>
    </w:p>
    <w:p w:rsidR="00DE71D2" w:rsidRPr="00DE71D2" w:rsidRDefault="00DE71D2" w:rsidP="00DE71D2">
      <w:pPr>
        <w:spacing w:line="240" w:lineRule="auto"/>
        <w:jc w:val="both"/>
        <w:rPr>
          <w:rFonts w:ascii="Arial" w:hAnsi="Arial" w:cs="Arial"/>
          <w:color w:val="000000" w:themeColor="text1"/>
          <w:sz w:val="24"/>
          <w:szCs w:val="24"/>
          <w:lang w:eastAsia="es-MX"/>
        </w:rPr>
      </w:pPr>
      <w:r w:rsidRPr="00DE71D2">
        <w:rPr>
          <w:rFonts w:ascii="Arial" w:hAnsi="Arial" w:cs="Arial"/>
          <w:color w:val="000000" w:themeColor="text1"/>
          <w:sz w:val="24"/>
          <w:szCs w:val="24"/>
          <w:lang w:eastAsia="es-MX"/>
        </w:rPr>
        <w:t>El superávit primario fue de 0.6 por ciento del Producto Interno Bruto (PIB), equivalente a 143 mil 712 millones de pesos. La estimación original de la Secretaría de Hacienda era de 0.8 por ciento. Sin embargo, en septiembre pasado ajustó dicha previsión a 0.7 por ciento del PIB.</w:t>
      </w:r>
    </w:p>
    <w:p w:rsidR="00DE71D2" w:rsidRPr="00DE71D2" w:rsidRDefault="00DE71D2" w:rsidP="00DE71D2">
      <w:pPr>
        <w:spacing w:line="240" w:lineRule="auto"/>
        <w:jc w:val="both"/>
        <w:rPr>
          <w:rFonts w:ascii="Arial" w:hAnsi="Arial" w:cs="Arial"/>
          <w:color w:val="000000" w:themeColor="text1"/>
          <w:sz w:val="24"/>
          <w:szCs w:val="24"/>
          <w:lang w:eastAsia="es-MX"/>
        </w:rPr>
      </w:pPr>
      <w:r w:rsidRPr="00DE71D2">
        <w:rPr>
          <w:rFonts w:ascii="Arial" w:hAnsi="Arial" w:cs="Arial"/>
          <w:color w:val="000000" w:themeColor="text1"/>
          <w:sz w:val="24"/>
          <w:szCs w:val="24"/>
          <w:lang w:eastAsia="es-MX"/>
        </w:rPr>
        <w:t>Sin embargo, cabe destacar que el superávit de 2018 fue mayor al observado en 2017, de 0.4 por ciento, sin considerar el Remanente de </w:t>
      </w:r>
      <w:r w:rsidRPr="00DE71D2">
        <w:rPr>
          <w:rFonts w:ascii="Arial" w:hAnsi="Arial" w:cs="Arial"/>
          <w:bCs/>
          <w:color w:val="000000" w:themeColor="text1"/>
          <w:sz w:val="24"/>
          <w:szCs w:val="24"/>
          <w:lang w:eastAsia="es-MX"/>
        </w:rPr>
        <w:t>Operación del Banco de México</w:t>
      </w:r>
      <w:r w:rsidRPr="00DE71D2">
        <w:rPr>
          <w:rFonts w:ascii="Arial" w:hAnsi="Arial" w:cs="Arial"/>
          <w:color w:val="000000" w:themeColor="text1"/>
          <w:sz w:val="24"/>
          <w:szCs w:val="24"/>
          <w:lang w:eastAsia="es-MX"/>
        </w:rPr>
        <w:t> que el instituto central entregó a la Federación por 321 mil 653 millones de pesos.</w:t>
      </w:r>
    </w:p>
    <w:p w:rsidR="00DE71D2" w:rsidRPr="00DE71D2" w:rsidRDefault="00DE71D2" w:rsidP="00DE71D2">
      <w:pPr>
        <w:spacing w:line="240" w:lineRule="auto"/>
        <w:jc w:val="both"/>
        <w:rPr>
          <w:rFonts w:ascii="Arial" w:hAnsi="Arial" w:cs="Arial"/>
          <w:color w:val="000000" w:themeColor="text1"/>
          <w:sz w:val="24"/>
          <w:szCs w:val="24"/>
          <w:lang w:eastAsia="es-MX"/>
        </w:rPr>
      </w:pPr>
      <w:r w:rsidRPr="00DE71D2">
        <w:rPr>
          <w:rFonts w:ascii="Arial" w:hAnsi="Arial" w:cs="Arial"/>
          <w:color w:val="000000" w:themeColor="text1"/>
          <w:sz w:val="24"/>
          <w:szCs w:val="24"/>
          <w:lang w:eastAsia="es-MX"/>
        </w:rPr>
        <w:t>Por otra parte, la deuda de México, medida mediante el Saldo Histórico de los Requerimientos Financieros del Sector Público, bajó por segundo año consecutivo de 45.8 a 44.8 por ciento del</w:t>
      </w:r>
      <w:r w:rsidRPr="00DE71D2">
        <w:rPr>
          <w:rFonts w:ascii="Arial" w:hAnsi="Arial" w:cs="Arial"/>
          <w:bCs/>
          <w:color w:val="000000" w:themeColor="text1"/>
          <w:sz w:val="24"/>
          <w:szCs w:val="24"/>
          <w:lang w:eastAsia="es-MX"/>
        </w:rPr>
        <w:t> PIB</w:t>
      </w:r>
      <w:r w:rsidRPr="00DE71D2">
        <w:rPr>
          <w:rFonts w:ascii="Arial" w:hAnsi="Arial" w:cs="Arial"/>
          <w:color w:val="000000" w:themeColor="text1"/>
          <w:sz w:val="24"/>
          <w:szCs w:val="24"/>
          <w:lang w:eastAsia="es-MX"/>
        </w:rPr>
        <w:t>. El resultado fue mejor de lo esperado, pues el gobierno federal estimaba que el endeudamiento público se ubicaría en 45.3 por ciento al cierre del año.</w:t>
      </w:r>
    </w:p>
    <w:p w:rsidR="00DE71D2" w:rsidRPr="00DE71D2" w:rsidRDefault="00DE71D2" w:rsidP="00DE71D2">
      <w:pPr>
        <w:spacing w:line="240" w:lineRule="auto"/>
        <w:jc w:val="both"/>
        <w:rPr>
          <w:rFonts w:ascii="Arial" w:hAnsi="Arial" w:cs="Arial"/>
          <w:color w:val="000000" w:themeColor="text1"/>
          <w:sz w:val="24"/>
          <w:szCs w:val="24"/>
          <w:lang w:eastAsia="es-MX"/>
        </w:rPr>
      </w:pPr>
      <w:r w:rsidRPr="00DE71D2">
        <w:rPr>
          <w:rFonts w:ascii="Arial" w:hAnsi="Arial" w:cs="Arial"/>
          <w:color w:val="000000" w:themeColor="text1"/>
          <w:sz w:val="24"/>
          <w:szCs w:val="24"/>
          <w:lang w:eastAsia="es-MX"/>
        </w:rPr>
        <w:t>La Secretaría de Hacienda y Crédito Público informó que los ingresos presupuestarios se ubicaron en 5.11 billones de pesos, lo que significó una caída de 1.5 por ciento con respecto a 2017. Sin embargo, esta cifra incorpora los remanentes de Banxico en 2017. Sin ellos, los recursos presupuestarios se incrementaron 5.4 por ciento.</w:t>
      </w:r>
    </w:p>
    <w:p w:rsidR="00DE71D2" w:rsidRPr="00DE71D2" w:rsidRDefault="00DE71D2" w:rsidP="00DE71D2">
      <w:pPr>
        <w:spacing w:line="240" w:lineRule="auto"/>
        <w:jc w:val="both"/>
        <w:rPr>
          <w:rFonts w:ascii="Arial" w:hAnsi="Arial" w:cs="Arial"/>
          <w:color w:val="000000" w:themeColor="text1"/>
          <w:sz w:val="24"/>
          <w:szCs w:val="24"/>
          <w:lang w:eastAsia="es-MX"/>
        </w:rPr>
      </w:pPr>
      <w:r w:rsidRPr="00DE71D2">
        <w:rPr>
          <w:rFonts w:ascii="Arial" w:hAnsi="Arial" w:cs="Arial"/>
          <w:color w:val="000000" w:themeColor="text1"/>
          <w:sz w:val="24"/>
          <w:szCs w:val="24"/>
          <w:lang w:eastAsia="es-MX"/>
        </w:rPr>
        <w:t>Los ingresos tributarios (recaudación de impuestos) aumentaron 2.2 por ciento de forma anual, impulsados por el </w:t>
      </w:r>
      <w:r w:rsidRPr="00DE71D2">
        <w:rPr>
          <w:rFonts w:ascii="Arial" w:hAnsi="Arial" w:cs="Arial"/>
          <w:bCs/>
          <w:color w:val="000000" w:themeColor="text1"/>
          <w:sz w:val="24"/>
          <w:szCs w:val="24"/>
          <w:lang w:eastAsia="es-MX"/>
        </w:rPr>
        <w:t>Impuesto Sobre la Renta</w:t>
      </w:r>
      <w:r w:rsidRPr="00DE71D2">
        <w:rPr>
          <w:rFonts w:ascii="Arial" w:hAnsi="Arial" w:cs="Arial"/>
          <w:color w:val="000000" w:themeColor="text1"/>
          <w:sz w:val="24"/>
          <w:szCs w:val="24"/>
          <w:lang w:eastAsia="es-MX"/>
        </w:rPr>
        <w:t>, cuya captación aumentó 10 por ciento, mientras que el Impuesto Especial Sobre Producción y Servicios de gasolinas y diésel cayeron 17 por ciento, por el beneficio fiscal que concede la Federación para evitar un impacto abrupto de un aumento en precios del combustible.</w:t>
      </w:r>
    </w:p>
    <w:p w:rsidR="00DE71D2" w:rsidRPr="00DE71D2" w:rsidRDefault="00DE71D2" w:rsidP="00DE71D2">
      <w:pPr>
        <w:spacing w:line="240" w:lineRule="auto"/>
        <w:jc w:val="both"/>
        <w:rPr>
          <w:rFonts w:ascii="Arial" w:hAnsi="Arial" w:cs="Arial"/>
          <w:color w:val="000000" w:themeColor="text1"/>
          <w:sz w:val="24"/>
          <w:szCs w:val="24"/>
          <w:lang w:eastAsia="es-MX"/>
        </w:rPr>
      </w:pPr>
      <w:r w:rsidRPr="00DE71D2">
        <w:rPr>
          <w:rFonts w:ascii="Arial" w:hAnsi="Arial" w:cs="Arial"/>
          <w:color w:val="000000" w:themeColor="text1"/>
          <w:sz w:val="24"/>
          <w:szCs w:val="24"/>
          <w:lang w:eastAsia="es-MX"/>
        </w:rPr>
        <w:t>En lo que se refiere al gasto, éste sumó 5.59 billones de pesos, un aumento de 2.9 por ciento con respecto a 2017, y fue 347 mil 176 millones de pesos mayor a lo programado, a pesar de la austeridad gubernamental.</w:t>
      </w:r>
    </w:p>
    <w:p w:rsidR="00DE71D2" w:rsidRPr="00DE71D2" w:rsidRDefault="00DE71D2" w:rsidP="00DE71D2">
      <w:pPr>
        <w:spacing w:line="240" w:lineRule="auto"/>
        <w:jc w:val="both"/>
        <w:rPr>
          <w:rFonts w:ascii="Arial" w:hAnsi="Arial" w:cs="Arial"/>
          <w:color w:val="000000" w:themeColor="text1"/>
          <w:sz w:val="24"/>
          <w:szCs w:val="24"/>
          <w:lang w:eastAsia="es-MX"/>
        </w:rPr>
      </w:pPr>
      <w:r w:rsidRPr="00DE71D2">
        <w:rPr>
          <w:rFonts w:ascii="Arial" w:hAnsi="Arial" w:cs="Arial"/>
          <w:color w:val="000000" w:themeColor="text1"/>
          <w:sz w:val="24"/>
          <w:szCs w:val="24"/>
          <w:lang w:eastAsia="es-MX"/>
        </w:rPr>
        <w:t>“El mayor gasto se sustenta fundamentalmente en ingresos adicionales a los previstos en la Ley de Ingresos de la Federación y el destino que les otorga la Ley Federal de Presupuesto y Responsabilidad Hacendaria”, señaló </w:t>
      </w:r>
      <w:r w:rsidRPr="00DE71D2">
        <w:rPr>
          <w:rFonts w:ascii="Arial" w:hAnsi="Arial" w:cs="Arial"/>
          <w:bCs/>
          <w:color w:val="000000" w:themeColor="text1"/>
          <w:sz w:val="24"/>
          <w:szCs w:val="24"/>
          <w:lang w:eastAsia="es-MX"/>
        </w:rPr>
        <w:t>Hacienda</w:t>
      </w:r>
      <w:r w:rsidRPr="00DE71D2">
        <w:rPr>
          <w:rFonts w:ascii="Arial" w:hAnsi="Arial" w:cs="Arial"/>
          <w:color w:val="000000" w:themeColor="text1"/>
          <w:sz w:val="24"/>
          <w:szCs w:val="24"/>
          <w:lang w:eastAsia="es-MX"/>
        </w:rPr>
        <w:t> en el Informe de Finanzas y Deuda públicas del cuarto trimestre de 2018.</w:t>
      </w:r>
    </w:p>
    <w:p w:rsidR="00DE71D2" w:rsidRPr="00DE71D2" w:rsidRDefault="00DE71D2" w:rsidP="00DE71D2">
      <w:pPr>
        <w:pStyle w:val="NormalWeb"/>
        <w:spacing w:before="0" w:beforeAutospacing="0"/>
        <w:jc w:val="both"/>
        <w:rPr>
          <w:rFonts w:ascii="Arial" w:hAnsi="Arial" w:cs="Arial"/>
          <w:color w:val="000000" w:themeColor="text1"/>
        </w:rPr>
      </w:pPr>
      <w:r w:rsidRPr="00DE71D2">
        <w:rPr>
          <w:rFonts w:ascii="Arial" w:hAnsi="Arial" w:cs="Arial"/>
          <w:color w:val="000000" w:themeColor="text1"/>
        </w:rPr>
        <w:t xml:space="preserve">El escenario de las finanzas públicas plantea un terreno complicado. Los presupuestos de los tres ámbitos de gobierno son poco realistas y poco comprometidos con un menor gasto corriente. El gasto en inversión pública tiene una disminución significativa, mientras que los costos financieros y los gastos de operación continúan en aumento. De igual forma, las autoridades han postergado </w:t>
      </w:r>
      <w:r w:rsidRPr="00DE71D2">
        <w:rPr>
          <w:rFonts w:ascii="Arial" w:hAnsi="Arial" w:cs="Arial"/>
          <w:color w:val="000000" w:themeColor="text1"/>
        </w:rPr>
        <w:lastRenderedPageBreak/>
        <w:t>la implementación de diversas recomendaciones que ayudarían a mejorar el gasto público. En resumen, la sustentabilidad de las finanzas públicas está comprometida.</w:t>
      </w:r>
    </w:p>
    <w:p w:rsidR="00DE71D2" w:rsidRPr="00DE71D2" w:rsidRDefault="00DE71D2" w:rsidP="00DE71D2">
      <w:pPr>
        <w:pStyle w:val="NormalWeb"/>
        <w:spacing w:before="0" w:beforeAutospacing="0"/>
        <w:jc w:val="both"/>
        <w:rPr>
          <w:rFonts w:ascii="Arial" w:hAnsi="Arial" w:cs="Arial"/>
          <w:color w:val="000000" w:themeColor="text1"/>
        </w:rPr>
      </w:pPr>
      <w:r w:rsidRPr="00DE71D2">
        <w:rPr>
          <w:rFonts w:ascii="Arial" w:hAnsi="Arial" w:cs="Arial"/>
          <w:color w:val="000000" w:themeColor="text1"/>
        </w:rPr>
        <w:t>Sin embargo, con casos como la condonación del ISR, hasta campañas de transparencia en el uso de recursos públicos, o el gasto en comunicación social, el trabajo de la sociedad civil se ha convertido en un elemento clave para mejorar el manejo de las finanzas públicas. Reformas como la de contabilidad gubernamental o leyes como la de disciplina financiera fueron posibles gracias al análisis y evaluación de estas organizaciones. Se ha colaborado en la construcción de un marco institucional que fomente la rendición de cuentas y contrapesos en las finanzas públicas.</w:t>
      </w:r>
    </w:p>
    <w:p w:rsidR="00DE71D2" w:rsidRPr="00DE71D2" w:rsidRDefault="00DE71D2" w:rsidP="00DE71D2">
      <w:pPr>
        <w:pStyle w:val="NormalWeb"/>
        <w:spacing w:before="0" w:beforeAutospacing="0"/>
        <w:jc w:val="both"/>
        <w:rPr>
          <w:rFonts w:ascii="Arial" w:hAnsi="Arial" w:cs="Arial"/>
          <w:color w:val="000000" w:themeColor="text1"/>
        </w:rPr>
      </w:pPr>
      <w:r w:rsidRPr="00DE71D2">
        <w:rPr>
          <w:rFonts w:ascii="Arial" w:hAnsi="Arial" w:cs="Arial"/>
          <w:color w:val="000000" w:themeColor="text1"/>
        </w:rPr>
        <w:t xml:space="preserve">Por otra parte, aunque existen avances importantes en materia de transparencia presupuestal, la opacidad en el ejercicio del gasto y el uso discrecional de recursos públicos persisten en los tres ámbitos y poderes de gobierno. Las variaciones injustificadas entre lo presupuestado y lo ejercido son reflejo de una mala planeación y un nulo contrapeso por parte de los poderes legislativos. Otro de los problemas es la falta de armonización y homologación en el reporte de información financiera que impide la comparación y obstaculiza la rendición de cuentas. </w:t>
      </w:r>
    </w:p>
    <w:p w:rsidR="00DE71D2" w:rsidRPr="00DE71D2" w:rsidRDefault="00DE71D2" w:rsidP="00DE71D2">
      <w:pPr>
        <w:spacing w:line="360" w:lineRule="auto"/>
        <w:jc w:val="center"/>
        <w:rPr>
          <w:rFonts w:ascii="Arial" w:eastAsia="Times New Roman" w:hAnsi="Arial" w:cs="Arial"/>
          <w:b/>
          <w:sz w:val="24"/>
          <w:szCs w:val="24"/>
          <w:lang w:eastAsia="es-MX"/>
        </w:rPr>
      </w:pPr>
      <w:bookmarkStart w:id="0" w:name="_GoBack"/>
      <w:bookmarkEnd w:id="0"/>
    </w:p>
    <w:sectPr w:rsidR="00DE71D2" w:rsidRPr="00DE71D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DC9" w:rsidRDefault="00936DC9" w:rsidP="00A04726">
      <w:pPr>
        <w:spacing w:after="0" w:line="240" w:lineRule="auto"/>
      </w:pPr>
      <w:r>
        <w:separator/>
      </w:r>
    </w:p>
  </w:endnote>
  <w:endnote w:type="continuationSeparator" w:id="0">
    <w:p w:rsidR="00936DC9" w:rsidRDefault="00936DC9" w:rsidP="00A04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DC9" w:rsidRDefault="00936DC9" w:rsidP="00A04726">
      <w:pPr>
        <w:spacing w:after="0" w:line="240" w:lineRule="auto"/>
      </w:pPr>
      <w:r>
        <w:separator/>
      </w:r>
    </w:p>
  </w:footnote>
  <w:footnote w:type="continuationSeparator" w:id="0">
    <w:p w:rsidR="00936DC9" w:rsidRDefault="00936DC9" w:rsidP="00A04726">
      <w:pPr>
        <w:spacing w:after="0" w:line="240" w:lineRule="auto"/>
      </w:pPr>
      <w:r>
        <w:continuationSeparator/>
      </w:r>
    </w:p>
  </w:footnote>
  <w:footnote w:id="1">
    <w:p w:rsidR="00F80CA9" w:rsidRDefault="00F80CA9">
      <w:pPr>
        <w:pStyle w:val="Textonotapie"/>
      </w:pPr>
      <w:r>
        <w:rPr>
          <w:rStyle w:val="Refdenotaalpie"/>
        </w:rPr>
        <w:footnoteRef/>
      </w:r>
      <w:r>
        <w:t xml:space="preserve"> Fuente EL PAÍS</w:t>
      </w:r>
    </w:p>
  </w:footnote>
  <w:footnote w:id="2">
    <w:p w:rsidR="00725DD4" w:rsidRDefault="00725DD4">
      <w:pPr>
        <w:pStyle w:val="Textonotapie"/>
      </w:pPr>
      <w:r>
        <w:rPr>
          <w:rStyle w:val="Refdenotaalpie"/>
        </w:rPr>
        <w:footnoteRef/>
      </w:r>
      <w:r>
        <w:t xml:space="preserve"> En esta parte del gasto se hace mención que el FONDEN entró en acción, con el terremoto del 19 de septiembre de 2017; brindando este apoyo a una gran cantidad de familias afectadas por dicho desastre natural. </w:t>
      </w:r>
    </w:p>
  </w:footnote>
  <w:footnote w:id="3">
    <w:p w:rsidR="00A04726" w:rsidRDefault="00A04726">
      <w:pPr>
        <w:pStyle w:val="Textonotapie"/>
      </w:pPr>
      <w:r>
        <w:rPr>
          <w:rStyle w:val="Refdenotaalpie"/>
        </w:rPr>
        <w:footnoteRef/>
      </w:r>
      <w:r>
        <w:t xml:space="preserve"> Fuente BANCO DE MEXICO</w:t>
      </w:r>
    </w:p>
  </w:footnote>
  <w:footnote w:id="4">
    <w:p w:rsidR="00A04726" w:rsidRDefault="00A04726">
      <w:pPr>
        <w:pStyle w:val="Textonotapie"/>
      </w:pPr>
      <w:r>
        <w:rPr>
          <w:rStyle w:val="Refdenotaalpie"/>
        </w:rPr>
        <w:footnoteRef/>
      </w:r>
      <w:r>
        <w:t xml:space="preserve"> Fuente</w:t>
      </w:r>
      <w:r w:rsidR="00FE44EC">
        <w:t xml:space="preserve">: elaboración propia de </w:t>
      </w:r>
      <w:hyperlink r:id="rId1" w:history="1">
        <w:r w:rsidR="00FE44EC">
          <w:rPr>
            <w:rStyle w:val="Hipervnculo"/>
          </w:rPr>
          <w:t>http://manuelvillaissa.blogspot.com/2013/09/estimacion-ocde-para-carne-de-res-en.html</w:t>
        </w:r>
      </w:hyperlink>
      <w:r>
        <w:t xml:space="preserve"> </w:t>
      </w:r>
      <w:r w:rsidR="00FE44EC">
        <w:t xml:space="preserve">con datos reales de la </w:t>
      </w:r>
      <w:r>
        <w:t>OCDE</w:t>
      </w:r>
      <w:r w:rsidR="00FE44EC">
        <w:t>,2012.</w:t>
      </w:r>
    </w:p>
  </w:footnote>
  <w:footnote w:id="5">
    <w:p w:rsidR="00A04726" w:rsidRDefault="00A04726">
      <w:pPr>
        <w:pStyle w:val="Textonotapie"/>
      </w:pPr>
      <w:r>
        <w:rPr>
          <w:rStyle w:val="Refdenotaalpie"/>
        </w:rPr>
        <w:footnoteRef/>
      </w:r>
      <w:r>
        <w:t xml:space="preserve"> Fuente FONDO MONETARIO INTERNACIONAL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B0B8B"/>
    <w:multiLevelType w:val="hybridMultilevel"/>
    <w:tmpl w:val="09A417D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16527C5D"/>
    <w:multiLevelType w:val="hybridMultilevel"/>
    <w:tmpl w:val="E14A4FF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51C6621C"/>
    <w:multiLevelType w:val="hybridMultilevel"/>
    <w:tmpl w:val="8E144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071032"/>
    <w:multiLevelType w:val="hybridMultilevel"/>
    <w:tmpl w:val="37AAB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DA60604"/>
    <w:multiLevelType w:val="hybridMultilevel"/>
    <w:tmpl w:val="0E96D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91A473F"/>
    <w:multiLevelType w:val="hybridMultilevel"/>
    <w:tmpl w:val="E47E6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466"/>
    <w:rsid w:val="000269C0"/>
    <w:rsid w:val="000338C3"/>
    <w:rsid w:val="0007353B"/>
    <w:rsid w:val="000E5591"/>
    <w:rsid w:val="00100A80"/>
    <w:rsid w:val="0013516D"/>
    <w:rsid w:val="001B099E"/>
    <w:rsid w:val="003A07FB"/>
    <w:rsid w:val="003A23DD"/>
    <w:rsid w:val="004271A7"/>
    <w:rsid w:val="004D53DE"/>
    <w:rsid w:val="00570A3C"/>
    <w:rsid w:val="005F70D0"/>
    <w:rsid w:val="00682AFC"/>
    <w:rsid w:val="00725DD4"/>
    <w:rsid w:val="00766CC2"/>
    <w:rsid w:val="00811EDA"/>
    <w:rsid w:val="00825B25"/>
    <w:rsid w:val="00890FC9"/>
    <w:rsid w:val="008F51E2"/>
    <w:rsid w:val="00900A5A"/>
    <w:rsid w:val="0091056E"/>
    <w:rsid w:val="00931BF4"/>
    <w:rsid w:val="00936DC9"/>
    <w:rsid w:val="009455A7"/>
    <w:rsid w:val="00950C2D"/>
    <w:rsid w:val="00995700"/>
    <w:rsid w:val="009F0AFA"/>
    <w:rsid w:val="00A04726"/>
    <w:rsid w:val="00A509DE"/>
    <w:rsid w:val="00A63520"/>
    <w:rsid w:val="00A72430"/>
    <w:rsid w:val="00A803DE"/>
    <w:rsid w:val="00A80A24"/>
    <w:rsid w:val="00AC017A"/>
    <w:rsid w:val="00AE3C61"/>
    <w:rsid w:val="00B00466"/>
    <w:rsid w:val="00B35D7C"/>
    <w:rsid w:val="00B729AE"/>
    <w:rsid w:val="00B92BA8"/>
    <w:rsid w:val="00BB0EC9"/>
    <w:rsid w:val="00C528F7"/>
    <w:rsid w:val="00CF7066"/>
    <w:rsid w:val="00D44B9C"/>
    <w:rsid w:val="00DD161A"/>
    <w:rsid w:val="00DD76CF"/>
    <w:rsid w:val="00DE71D2"/>
    <w:rsid w:val="00E34E38"/>
    <w:rsid w:val="00EA4A08"/>
    <w:rsid w:val="00EE586A"/>
    <w:rsid w:val="00F52B61"/>
    <w:rsid w:val="00F80CA9"/>
    <w:rsid w:val="00FE44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08654"/>
  <w15:chartTrackingRefBased/>
  <w15:docId w15:val="{055BBE1F-DEBA-4EE0-B860-54195B3E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A0472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04726"/>
    <w:rPr>
      <w:sz w:val="20"/>
      <w:szCs w:val="20"/>
    </w:rPr>
  </w:style>
  <w:style w:type="character" w:styleId="Refdenotaalpie">
    <w:name w:val="footnote reference"/>
    <w:basedOn w:val="Fuentedeprrafopredeter"/>
    <w:uiPriority w:val="99"/>
    <w:semiHidden/>
    <w:unhideWhenUsed/>
    <w:rsid w:val="00A04726"/>
    <w:rPr>
      <w:vertAlign w:val="superscript"/>
    </w:rPr>
  </w:style>
  <w:style w:type="paragraph" w:styleId="Encabezado">
    <w:name w:val="header"/>
    <w:basedOn w:val="Normal"/>
    <w:link w:val="EncabezadoCar"/>
    <w:uiPriority w:val="99"/>
    <w:unhideWhenUsed/>
    <w:rsid w:val="00A047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4726"/>
  </w:style>
  <w:style w:type="paragraph" w:styleId="Piedepgina">
    <w:name w:val="footer"/>
    <w:basedOn w:val="Normal"/>
    <w:link w:val="PiedepginaCar"/>
    <w:uiPriority w:val="99"/>
    <w:unhideWhenUsed/>
    <w:rsid w:val="00A047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4726"/>
  </w:style>
  <w:style w:type="paragraph" w:styleId="Prrafodelista">
    <w:name w:val="List Paragraph"/>
    <w:basedOn w:val="Normal"/>
    <w:uiPriority w:val="34"/>
    <w:qFormat/>
    <w:rsid w:val="003A23DD"/>
    <w:pPr>
      <w:ind w:left="720"/>
      <w:contextualSpacing/>
    </w:pPr>
  </w:style>
  <w:style w:type="paragraph" w:styleId="Textodeglobo">
    <w:name w:val="Balloon Text"/>
    <w:basedOn w:val="Normal"/>
    <w:link w:val="TextodegloboCar"/>
    <w:uiPriority w:val="99"/>
    <w:semiHidden/>
    <w:unhideWhenUsed/>
    <w:rsid w:val="000735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53B"/>
    <w:rPr>
      <w:rFonts w:ascii="Segoe UI" w:hAnsi="Segoe UI" w:cs="Segoe UI"/>
      <w:sz w:val="18"/>
      <w:szCs w:val="18"/>
    </w:rPr>
  </w:style>
  <w:style w:type="character" w:styleId="Hipervnculo">
    <w:name w:val="Hyperlink"/>
    <w:basedOn w:val="Fuentedeprrafopredeter"/>
    <w:uiPriority w:val="99"/>
    <w:semiHidden/>
    <w:unhideWhenUsed/>
    <w:rsid w:val="00FE44EC"/>
    <w:rPr>
      <w:color w:val="0000FF"/>
      <w:u w:val="single"/>
    </w:rPr>
  </w:style>
  <w:style w:type="paragraph" w:styleId="NormalWeb">
    <w:name w:val="Normal (Web)"/>
    <w:basedOn w:val="Normal"/>
    <w:uiPriority w:val="99"/>
    <w:semiHidden/>
    <w:unhideWhenUsed/>
    <w:rsid w:val="00DE71D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925998">
      <w:bodyDiv w:val="1"/>
      <w:marLeft w:val="0"/>
      <w:marRight w:val="0"/>
      <w:marTop w:val="0"/>
      <w:marBottom w:val="0"/>
      <w:divBdr>
        <w:top w:val="none" w:sz="0" w:space="0" w:color="auto"/>
        <w:left w:val="none" w:sz="0" w:space="0" w:color="auto"/>
        <w:bottom w:val="none" w:sz="0" w:space="0" w:color="auto"/>
        <w:right w:val="none" w:sz="0" w:space="0" w:color="auto"/>
      </w:divBdr>
      <w:divsChild>
        <w:div w:id="427579521">
          <w:marLeft w:val="0"/>
          <w:marRight w:val="0"/>
          <w:marTop w:val="0"/>
          <w:marBottom w:val="0"/>
          <w:divBdr>
            <w:top w:val="none" w:sz="0" w:space="0" w:color="auto"/>
            <w:left w:val="none" w:sz="0" w:space="0" w:color="auto"/>
            <w:bottom w:val="none" w:sz="0" w:space="0" w:color="auto"/>
            <w:right w:val="none" w:sz="0" w:space="0" w:color="auto"/>
          </w:divBdr>
        </w:div>
        <w:div w:id="560530481">
          <w:marLeft w:val="0"/>
          <w:marRight w:val="0"/>
          <w:marTop w:val="0"/>
          <w:marBottom w:val="0"/>
          <w:divBdr>
            <w:top w:val="none" w:sz="0" w:space="0" w:color="auto"/>
            <w:left w:val="none" w:sz="0" w:space="0" w:color="auto"/>
            <w:bottom w:val="none" w:sz="0" w:space="0" w:color="auto"/>
            <w:right w:val="none" w:sz="0" w:space="0" w:color="auto"/>
          </w:divBdr>
        </w:div>
        <w:div w:id="877739797">
          <w:marLeft w:val="0"/>
          <w:marRight w:val="0"/>
          <w:marTop w:val="0"/>
          <w:marBottom w:val="0"/>
          <w:divBdr>
            <w:top w:val="none" w:sz="0" w:space="0" w:color="auto"/>
            <w:left w:val="none" w:sz="0" w:space="0" w:color="auto"/>
            <w:bottom w:val="none" w:sz="0" w:space="0" w:color="auto"/>
            <w:right w:val="none" w:sz="0" w:space="0" w:color="auto"/>
          </w:divBdr>
        </w:div>
        <w:div w:id="1617103077">
          <w:marLeft w:val="0"/>
          <w:marRight w:val="0"/>
          <w:marTop w:val="0"/>
          <w:marBottom w:val="0"/>
          <w:divBdr>
            <w:top w:val="none" w:sz="0" w:space="0" w:color="auto"/>
            <w:left w:val="none" w:sz="0" w:space="0" w:color="auto"/>
            <w:bottom w:val="none" w:sz="0" w:space="0" w:color="auto"/>
            <w:right w:val="none" w:sz="0" w:space="0" w:color="auto"/>
          </w:divBdr>
        </w:div>
        <w:div w:id="1649435275">
          <w:marLeft w:val="0"/>
          <w:marRight w:val="0"/>
          <w:marTop w:val="0"/>
          <w:marBottom w:val="0"/>
          <w:divBdr>
            <w:top w:val="none" w:sz="0" w:space="0" w:color="auto"/>
            <w:left w:val="none" w:sz="0" w:space="0" w:color="auto"/>
            <w:bottom w:val="none" w:sz="0" w:space="0" w:color="auto"/>
            <w:right w:val="none" w:sz="0" w:space="0" w:color="auto"/>
          </w:divBdr>
        </w:div>
      </w:divsChild>
    </w:div>
    <w:div w:id="1505433841">
      <w:bodyDiv w:val="1"/>
      <w:marLeft w:val="0"/>
      <w:marRight w:val="0"/>
      <w:marTop w:val="0"/>
      <w:marBottom w:val="0"/>
      <w:divBdr>
        <w:top w:val="none" w:sz="0" w:space="0" w:color="auto"/>
        <w:left w:val="none" w:sz="0" w:space="0" w:color="auto"/>
        <w:bottom w:val="none" w:sz="0" w:space="0" w:color="auto"/>
        <w:right w:val="none" w:sz="0" w:space="0" w:color="auto"/>
      </w:divBdr>
      <w:divsChild>
        <w:div w:id="185826783">
          <w:marLeft w:val="0"/>
          <w:marRight w:val="0"/>
          <w:marTop w:val="0"/>
          <w:marBottom w:val="0"/>
          <w:divBdr>
            <w:top w:val="none" w:sz="0" w:space="0" w:color="auto"/>
            <w:left w:val="none" w:sz="0" w:space="0" w:color="auto"/>
            <w:bottom w:val="none" w:sz="0" w:space="0" w:color="auto"/>
            <w:right w:val="none" w:sz="0" w:space="0" w:color="auto"/>
          </w:divBdr>
        </w:div>
        <w:div w:id="247615891">
          <w:marLeft w:val="0"/>
          <w:marRight w:val="0"/>
          <w:marTop w:val="0"/>
          <w:marBottom w:val="0"/>
          <w:divBdr>
            <w:top w:val="none" w:sz="0" w:space="0" w:color="auto"/>
            <w:left w:val="none" w:sz="0" w:space="0" w:color="auto"/>
            <w:bottom w:val="none" w:sz="0" w:space="0" w:color="auto"/>
            <w:right w:val="none" w:sz="0" w:space="0" w:color="auto"/>
          </w:divBdr>
        </w:div>
        <w:div w:id="257719792">
          <w:marLeft w:val="0"/>
          <w:marRight w:val="0"/>
          <w:marTop w:val="0"/>
          <w:marBottom w:val="0"/>
          <w:divBdr>
            <w:top w:val="none" w:sz="0" w:space="0" w:color="auto"/>
            <w:left w:val="none" w:sz="0" w:space="0" w:color="auto"/>
            <w:bottom w:val="none" w:sz="0" w:space="0" w:color="auto"/>
            <w:right w:val="none" w:sz="0" w:space="0" w:color="auto"/>
          </w:divBdr>
        </w:div>
        <w:div w:id="360136166">
          <w:marLeft w:val="0"/>
          <w:marRight w:val="0"/>
          <w:marTop w:val="0"/>
          <w:marBottom w:val="0"/>
          <w:divBdr>
            <w:top w:val="none" w:sz="0" w:space="0" w:color="auto"/>
            <w:left w:val="none" w:sz="0" w:space="0" w:color="auto"/>
            <w:bottom w:val="none" w:sz="0" w:space="0" w:color="auto"/>
            <w:right w:val="none" w:sz="0" w:space="0" w:color="auto"/>
          </w:divBdr>
        </w:div>
        <w:div w:id="549878786">
          <w:marLeft w:val="0"/>
          <w:marRight w:val="0"/>
          <w:marTop w:val="0"/>
          <w:marBottom w:val="0"/>
          <w:divBdr>
            <w:top w:val="none" w:sz="0" w:space="0" w:color="auto"/>
            <w:left w:val="none" w:sz="0" w:space="0" w:color="auto"/>
            <w:bottom w:val="none" w:sz="0" w:space="0" w:color="auto"/>
            <w:right w:val="none" w:sz="0" w:space="0" w:color="auto"/>
          </w:divBdr>
        </w:div>
        <w:div w:id="802772567">
          <w:marLeft w:val="0"/>
          <w:marRight w:val="0"/>
          <w:marTop w:val="0"/>
          <w:marBottom w:val="0"/>
          <w:divBdr>
            <w:top w:val="none" w:sz="0" w:space="0" w:color="auto"/>
            <w:left w:val="none" w:sz="0" w:space="0" w:color="auto"/>
            <w:bottom w:val="none" w:sz="0" w:space="0" w:color="auto"/>
            <w:right w:val="none" w:sz="0" w:space="0" w:color="auto"/>
          </w:divBdr>
        </w:div>
        <w:div w:id="1055130674">
          <w:marLeft w:val="0"/>
          <w:marRight w:val="0"/>
          <w:marTop w:val="0"/>
          <w:marBottom w:val="0"/>
          <w:divBdr>
            <w:top w:val="none" w:sz="0" w:space="0" w:color="auto"/>
            <w:left w:val="none" w:sz="0" w:space="0" w:color="auto"/>
            <w:bottom w:val="none" w:sz="0" w:space="0" w:color="auto"/>
            <w:right w:val="none" w:sz="0" w:space="0" w:color="auto"/>
          </w:divBdr>
        </w:div>
        <w:div w:id="1272662734">
          <w:marLeft w:val="0"/>
          <w:marRight w:val="0"/>
          <w:marTop w:val="0"/>
          <w:marBottom w:val="0"/>
          <w:divBdr>
            <w:top w:val="none" w:sz="0" w:space="0" w:color="auto"/>
            <w:left w:val="none" w:sz="0" w:space="0" w:color="auto"/>
            <w:bottom w:val="none" w:sz="0" w:space="0" w:color="auto"/>
            <w:right w:val="none" w:sz="0" w:space="0" w:color="auto"/>
          </w:divBdr>
        </w:div>
        <w:div w:id="1367637299">
          <w:marLeft w:val="0"/>
          <w:marRight w:val="0"/>
          <w:marTop w:val="0"/>
          <w:marBottom w:val="0"/>
          <w:divBdr>
            <w:top w:val="none" w:sz="0" w:space="0" w:color="auto"/>
            <w:left w:val="none" w:sz="0" w:space="0" w:color="auto"/>
            <w:bottom w:val="none" w:sz="0" w:space="0" w:color="auto"/>
            <w:right w:val="none" w:sz="0" w:space="0" w:color="auto"/>
          </w:divBdr>
        </w:div>
        <w:div w:id="1433015703">
          <w:marLeft w:val="0"/>
          <w:marRight w:val="0"/>
          <w:marTop w:val="0"/>
          <w:marBottom w:val="0"/>
          <w:divBdr>
            <w:top w:val="none" w:sz="0" w:space="0" w:color="auto"/>
            <w:left w:val="none" w:sz="0" w:space="0" w:color="auto"/>
            <w:bottom w:val="none" w:sz="0" w:space="0" w:color="auto"/>
            <w:right w:val="none" w:sz="0" w:space="0" w:color="auto"/>
          </w:divBdr>
        </w:div>
        <w:div w:id="1560484037">
          <w:marLeft w:val="0"/>
          <w:marRight w:val="0"/>
          <w:marTop w:val="0"/>
          <w:marBottom w:val="0"/>
          <w:divBdr>
            <w:top w:val="none" w:sz="0" w:space="0" w:color="auto"/>
            <w:left w:val="none" w:sz="0" w:space="0" w:color="auto"/>
            <w:bottom w:val="none" w:sz="0" w:space="0" w:color="auto"/>
            <w:right w:val="none" w:sz="0" w:space="0" w:color="auto"/>
          </w:divBdr>
        </w:div>
        <w:div w:id="1603149788">
          <w:marLeft w:val="0"/>
          <w:marRight w:val="0"/>
          <w:marTop w:val="0"/>
          <w:marBottom w:val="0"/>
          <w:divBdr>
            <w:top w:val="none" w:sz="0" w:space="0" w:color="auto"/>
            <w:left w:val="none" w:sz="0" w:space="0" w:color="auto"/>
            <w:bottom w:val="none" w:sz="0" w:space="0" w:color="auto"/>
            <w:right w:val="none" w:sz="0" w:space="0" w:color="auto"/>
          </w:divBdr>
        </w:div>
        <w:div w:id="1882738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manuelvillaissa.blogspot.com/2013/09/estimacion-ocde-para-carne-de-res-en.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BB82C-8A19-40B5-B681-B130F81D5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3675</Words>
  <Characters>20214</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Churrumais</dc:creator>
  <cp:keywords/>
  <dc:description/>
  <cp:lastModifiedBy>Usuario</cp:lastModifiedBy>
  <cp:revision>3</cp:revision>
  <cp:lastPrinted>2019-04-02T16:14:00Z</cp:lastPrinted>
  <dcterms:created xsi:type="dcterms:W3CDTF">2019-04-02T15:00:00Z</dcterms:created>
  <dcterms:modified xsi:type="dcterms:W3CDTF">2019-04-02T16:27:00Z</dcterms:modified>
</cp:coreProperties>
</file>