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CBF3E" w14:textId="77777777" w:rsidR="00A61D7E" w:rsidRDefault="00A61D7E" w:rsidP="00A61D7E">
      <w:pPr>
        <w:spacing w:line="360" w:lineRule="auto"/>
        <w:jc w:val="center"/>
        <w:rPr>
          <w:rFonts w:cs="Arial"/>
          <w:b/>
          <w:szCs w:val="24"/>
        </w:rPr>
      </w:pPr>
      <w:r>
        <w:rPr>
          <w:rFonts w:cs="Arial"/>
          <w:b/>
          <w:noProof/>
          <w:szCs w:val="24"/>
          <w:lang w:eastAsia="es-MX"/>
        </w:rPr>
        <mc:AlternateContent>
          <mc:Choice Requires="wps">
            <w:drawing>
              <wp:anchor distT="0" distB="0" distL="114300" distR="114300" simplePos="0" relativeHeight="251660288" behindDoc="0" locked="0" layoutInCell="1" allowOverlap="1" wp14:anchorId="7AF44224" wp14:editId="079A5E3C">
                <wp:simplePos x="0" y="0"/>
                <wp:positionH relativeFrom="column">
                  <wp:posOffset>-581025</wp:posOffset>
                </wp:positionH>
                <wp:positionV relativeFrom="paragraph">
                  <wp:posOffset>-339090</wp:posOffset>
                </wp:positionV>
                <wp:extent cx="6837045" cy="8950325"/>
                <wp:effectExtent l="19050" t="19050" r="40005" b="41275"/>
                <wp:wrapNone/>
                <wp:docPr id="1" name="Rectángulo 1"/>
                <wp:cNvGraphicFramePr/>
                <a:graphic xmlns:a="http://schemas.openxmlformats.org/drawingml/2006/main">
                  <a:graphicData uri="http://schemas.microsoft.com/office/word/2010/wordprocessingShape">
                    <wps:wsp>
                      <wps:cNvSpPr/>
                      <wps:spPr>
                        <a:xfrm>
                          <a:off x="0" y="0"/>
                          <a:ext cx="6837045" cy="89503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AF80C" id="Rectángulo 1" o:spid="_x0000_s1026" style="position:absolute;margin-left:-45.75pt;margin-top:-26.7pt;width:538.35pt;height:70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" filled="f" strokecolor="#c00000" strokeweight="4.5pt"/>
            </w:pict>
          </mc:Fallback>
        </mc:AlternateContent>
      </w:r>
      <w:r>
        <w:rPr>
          <w:rFonts w:cs="Arial"/>
          <w:b/>
          <w:noProof/>
          <w:lang w:eastAsia="es-MX"/>
        </w:rPr>
        <w:drawing>
          <wp:anchor distT="0" distB="0" distL="114300" distR="114300" simplePos="0" relativeHeight="251659264" behindDoc="0" locked="0" layoutInCell="1" allowOverlap="1" wp14:anchorId="481DE0B7" wp14:editId="3D4299CF">
            <wp:simplePos x="0" y="0"/>
            <wp:positionH relativeFrom="margin">
              <wp:posOffset>1213485</wp:posOffset>
            </wp:positionH>
            <wp:positionV relativeFrom="margin">
              <wp:posOffset>-404</wp:posOffset>
            </wp:positionV>
            <wp:extent cx="3067050" cy="45669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XIV Legislatura_vertical.png"/>
                    <pic:cNvPicPr/>
                  </pic:nvPicPr>
                  <pic:blipFill rotWithShape="1">
                    <a:blip r:embed="rId5" cstate="print">
                      <a:extLst>
                        <a:ext uri="{28A0092B-C50C-407E-A947-70E740481C1C}">
                          <a14:useLocalDpi xmlns:a14="http://schemas.microsoft.com/office/drawing/2010/main" val="0"/>
                        </a:ext>
                      </a:extLst>
                    </a:blip>
                    <a:srcRect l="6610" r="6842"/>
                    <a:stretch/>
                  </pic:blipFill>
                  <pic:spPr bwMode="auto">
                    <a:xfrm>
                      <a:off x="0" y="0"/>
                      <a:ext cx="3067050" cy="4566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6317C59" w14:textId="77777777" w:rsidR="00A61D7E" w:rsidRDefault="00A61D7E" w:rsidP="00A61D7E">
      <w:pPr>
        <w:spacing w:line="360" w:lineRule="auto"/>
        <w:jc w:val="center"/>
        <w:rPr>
          <w:rFonts w:cs="Arial"/>
          <w:b/>
          <w:szCs w:val="24"/>
        </w:rPr>
      </w:pPr>
    </w:p>
    <w:p w14:paraId="237C3F78" w14:textId="77777777" w:rsidR="00A61D7E" w:rsidRDefault="00A61D7E" w:rsidP="00A61D7E">
      <w:pPr>
        <w:spacing w:line="360" w:lineRule="auto"/>
        <w:jc w:val="center"/>
        <w:rPr>
          <w:rFonts w:cs="Arial"/>
          <w:b/>
          <w:szCs w:val="24"/>
        </w:rPr>
      </w:pPr>
    </w:p>
    <w:p w14:paraId="709BAFF7" w14:textId="77777777" w:rsidR="00A61D7E" w:rsidRDefault="00A61D7E" w:rsidP="00A61D7E">
      <w:pPr>
        <w:spacing w:line="360" w:lineRule="auto"/>
        <w:jc w:val="center"/>
        <w:rPr>
          <w:rFonts w:cs="Arial"/>
          <w:b/>
          <w:szCs w:val="24"/>
        </w:rPr>
      </w:pPr>
    </w:p>
    <w:p w14:paraId="1FBA7A9D" w14:textId="77777777" w:rsidR="00A61D7E" w:rsidRDefault="00A61D7E" w:rsidP="00A61D7E">
      <w:pPr>
        <w:spacing w:line="360" w:lineRule="auto"/>
        <w:jc w:val="center"/>
        <w:rPr>
          <w:rFonts w:cs="Arial"/>
          <w:b/>
          <w:szCs w:val="24"/>
        </w:rPr>
      </w:pPr>
    </w:p>
    <w:p w14:paraId="4FFE9175" w14:textId="77777777" w:rsidR="00A61D7E" w:rsidRDefault="00A61D7E" w:rsidP="00A61D7E">
      <w:pPr>
        <w:spacing w:line="360" w:lineRule="auto"/>
        <w:jc w:val="center"/>
        <w:rPr>
          <w:rFonts w:cs="Arial"/>
          <w:b/>
          <w:szCs w:val="24"/>
        </w:rPr>
      </w:pPr>
    </w:p>
    <w:p w14:paraId="741F06B9" w14:textId="77777777" w:rsidR="00A61D7E" w:rsidRDefault="00A61D7E" w:rsidP="00A61D7E">
      <w:pPr>
        <w:spacing w:line="360" w:lineRule="auto"/>
        <w:jc w:val="center"/>
        <w:rPr>
          <w:rFonts w:cs="Arial"/>
          <w:b/>
          <w:szCs w:val="24"/>
        </w:rPr>
      </w:pPr>
    </w:p>
    <w:p w14:paraId="6551E383" w14:textId="77777777" w:rsidR="00A61D7E" w:rsidRDefault="00A61D7E" w:rsidP="00A61D7E">
      <w:pPr>
        <w:spacing w:line="360" w:lineRule="auto"/>
        <w:jc w:val="center"/>
        <w:rPr>
          <w:rFonts w:cs="Arial"/>
          <w:b/>
          <w:szCs w:val="24"/>
        </w:rPr>
      </w:pPr>
    </w:p>
    <w:p w14:paraId="1191FF9F" w14:textId="77777777" w:rsidR="00A61D7E" w:rsidRDefault="00A61D7E" w:rsidP="00A61D7E">
      <w:pPr>
        <w:spacing w:line="360" w:lineRule="auto"/>
        <w:jc w:val="center"/>
        <w:rPr>
          <w:rFonts w:cs="Arial"/>
          <w:b/>
          <w:szCs w:val="24"/>
        </w:rPr>
      </w:pPr>
    </w:p>
    <w:p w14:paraId="290820E0" w14:textId="77777777" w:rsidR="00A61D7E" w:rsidRDefault="00A61D7E" w:rsidP="00A61D7E">
      <w:pPr>
        <w:spacing w:line="360" w:lineRule="auto"/>
        <w:jc w:val="center"/>
        <w:rPr>
          <w:rFonts w:cs="Arial"/>
          <w:b/>
          <w:szCs w:val="24"/>
        </w:rPr>
      </w:pPr>
    </w:p>
    <w:p w14:paraId="37E1E800" w14:textId="77777777" w:rsidR="00A61D7E" w:rsidRDefault="00A61D7E" w:rsidP="00A61D7E">
      <w:pPr>
        <w:spacing w:line="360" w:lineRule="auto"/>
        <w:jc w:val="center"/>
        <w:rPr>
          <w:rFonts w:cs="Arial"/>
          <w:b/>
          <w:szCs w:val="24"/>
        </w:rPr>
      </w:pPr>
    </w:p>
    <w:p w14:paraId="708E0B6F" w14:textId="77777777" w:rsidR="00A61D7E" w:rsidRDefault="00A61D7E" w:rsidP="00A61D7E">
      <w:pPr>
        <w:spacing w:line="360" w:lineRule="auto"/>
        <w:jc w:val="center"/>
        <w:rPr>
          <w:rFonts w:cs="Arial"/>
          <w:b/>
          <w:szCs w:val="24"/>
        </w:rPr>
      </w:pPr>
    </w:p>
    <w:p w14:paraId="14598D73" w14:textId="77777777" w:rsidR="00A61D7E" w:rsidRDefault="00A61D7E" w:rsidP="00A61D7E">
      <w:pPr>
        <w:spacing w:line="360" w:lineRule="auto"/>
        <w:jc w:val="center"/>
        <w:rPr>
          <w:rFonts w:cs="Arial"/>
          <w:b/>
          <w:szCs w:val="24"/>
        </w:rPr>
      </w:pPr>
    </w:p>
    <w:p w14:paraId="4A942C73" w14:textId="77777777" w:rsidR="00A61D7E" w:rsidRDefault="00A61D7E" w:rsidP="00A61D7E">
      <w:pPr>
        <w:spacing w:line="360" w:lineRule="auto"/>
        <w:jc w:val="center"/>
        <w:rPr>
          <w:rFonts w:cs="Arial"/>
          <w:b/>
          <w:szCs w:val="24"/>
        </w:rPr>
      </w:pPr>
      <w:bookmarkStart w:id="0" w:name="_GoBack"/>
      <w:bookmarkEnd w:id="0"/>
    </w:p>
    <w:p w14:paraId="317A100B" w14:textId="6A20A369" w:rsidR="00A61D7E" w:rsidRPr="001E40DC" w:rsidRDefault="00A61D7E" w:rsidP="004C7B26">
      <w:pPr>
        <w:spacing w:line="360" w:lineRule="auto"/>
        <w:jc w:val="center"/>
        <w:rPr>
          <w:rFonts w:ascii="Century Gothic" w:hAnsi="Century Gothic" w:cs="Arial"/>
          <w:b/>
          <w:sz w:val="36"/>
          <w:szCs w:val="24"/>
        </w:rPr>
      </w:pPr>
      <w:r w:rsidRPr="001E40DC">
        <w:rPr>
          <w:rFonts w:ascii="Century Gothic" w:hAnsi="Century Gothic" w:cs="Arial"/>
          <w:b/>
          <w:sz w:val="36"/>
          <w:szCs w:val="24"/>
        </w:rPr>
        <w:t xml:space="preserve">Opinión al </w:t>
      </w:r>
      <w:r w:rsidR="00A51F93" w:rsidRPr="001E40DC">
        <w:rPr>
          <w:rFonts w:ascii="Century Gothic" w:hAnsi="Century Gothic" w:cs="Arial"/>
          <w:b/>
          <w:sz w:val="36"/>
          <w:szCs w:val="24"/>
        </w:rPr>
        <w:t>Informe sobre la Situación E</w:t>
      </w:r>
      <w:r w:rsidRPr="001E40DC">
        <w:rPr>
          <w:rFonts w:ascii="Century Gothic" w:hAnsi="Century Gothic" w:cs="Arial"/>
          <w:b/>
          <w:sz w:val="36"/>
          <w:szCs w:val="24"/>
        </w:rPr>
        <w:t xml:space="preserve">conómica, las Finanzas Públicas y la Deuda Pública del </w:t>
      </w:r>
      <w:r w:rsidR="004C7B26" w:rsidRPr="001E40DC">
        <w:rPr>
          <w:rFonts w:ascii="Century Gothic" w:hAnsi="Century Gothic" w:cs="Arial"/>
          <w:b/>
          <w:sz w:val="36"/>
          <w:szCs w:val="24"/>
        </w:rPr>
        <w:br/>
      </w:r>
      <w:r w:rsidRPr="001E40DC">
        <w:rPr>
          <w:rFonts w:ascii="Century Gothic" w:hAnsi="Century Gothic" w:cs="Arial"/>
          <w:b/>
          <w:sz w:val="36"/>
          <w:szCs w:val="24"/>
        </w:rPr>
        <w:t>1er Trimestre de 2019</w:t>
      </w:r>
    </w:p>
    <w:p w14:paraId="32C64ECA" w14:textId="77777777" w:rsidR="00A61D7E" w:rsidRPr="001E40DC" w:rsidRDefault="00A61D7E" w:rsidP="00A61D7E">
      <w:pPr>
        <w:spacing w:line="360" w:lineRule="auto"/>
        <w:jc w:val="center"/>
        <w:rPr>
          <w:rFonts w:ascii="Century Gothic" w:hAnsi="Century Gothic" w:cs="Arial"/>
          <w:b/>
          <w:sz w:val="36"/>
          <w:szCs w:val="24"/>
        </w:rPr>
      </w:pPr>
    </w:p>
    <w:p w14:paraId="534A6F6D" w14:textId="41F3C906" w:rsidR="00A61D7E" w:rsidRDefault="00C85E20" w:rsidP="00A61D7E">
      <w:pPr>
        <w:spacing w:line="360" w:lineRule="auto"/>
        <w:jc w:val="center"/>
        <w:rPr>
          <w:rFonts w:cs="Arial"/>
          <w:b/>
          <w:sz w:val="32"/>
        </w:rPr>
      </w:pPr>
      <w:r>
        <w:rPr>
          <w:noProof/>
          <w:lang w:eastAsia="es-MX"/>
        </w:rPr>
        <w:drawing>
          <wp:anchor distT="0" distB="0" distL="114300" distR="114300" simplePos="0" relativeHeight="251663360" behindDoc="1" locked="0" layoutInCell="1" allowOverlap="1" wp14:anchorId="68A6AA19" wp14:editId="030C08BD">
            <wp:simplePos x="0" y="0"/>
            <wp:positionH relativeFrom="column">
              <wp:posOffset>3825240</wp:posOffset>
            </wp:positionH>
            <wp:positionV relativeFrom="paragraph">
              <wp:posOffset>380365</wp:posOffset>
            </wp:positionV>
            <wp:extent cx="1924050" cy="909955"/>
            <wp:effectExtent l="0" t="0" r="0" b="4445"/>
            <wp:wrapNone/>
            <wp:docPr id="2" name="Imagen 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6">
                      <a:extLst>
                        <a:ext uri="{28A0092B-C50C-407E-A947-70E740481C1C}">
                          <a14:useLocalDpi xmlns:a14="http://schemas.microsoft.com/office/drawing/2010/main" val="0"/>
                        </a:ext>
                      </a:extLst>
                    </a:blip>
                    <a:stretch>
                      <a:fillRect/>
                    </a:stretch>
                  </pic:blipFill>
                  <pic:spPr>
                    <a:xfrm>
                      <a:off x="0" y="0"/>
                      <a:ext cx="1924050" cy="909955"/>
                    </a:xfrm>
                    <a:prstGeom prst="rect">
                      <a:avLst/>
                    </a:prstGeom>
                  </pic:spPr>
                </pic:pic>
              </a:graphicData>
            </a:graphic>
          </wp:anchor>
        </w:drawing>
      </w:r>
    </w:p>
    <w:p w14:paraId="04F936C1" w14:textId="2E851141" w:rsidR="007A6A91" w:rsidRDefault="007A6A91" w:rsidP="00A61D7E">
      <w:pPr>
        <w:spacing w:line="360" w:lineRule="auto"/>
        <w:jc w:val="center"/>
        <w:rPr>
          <w:rFonts w:cs="Arial"/>
          <w:b/>
          <w:szCs w:val="24"/>
        </w:rPr>
      </w:pPr>
    </w:p>
    <w:p w14:paraId="69A19804" w14:textId="77777777" w:rsidR="00A61D7E" w:rsidRDefault="00A61D7E" w:rsidP="00A61D7E">
      <w:pPr>
        <w:spacing w:line="360" w:lineRule="auto"/>
        <w:jc w:val="center"/>
        <w:rPr>
          <w:rFonts w:cs="Arial"/>
          <w:b/>
          <w:szCs w:val="24"/>
        </w:rPr>
      </w:pPr>
    </w:p>
    <w:p w14:paraId="7751AF1C" w14:textId="77777777" w:rsidR="00A61D7E" w:rsidRPr="00145E86" w:rsidRDefault="00A61D7E" w:rsidP="00145E86">
      <w:pPr>
        <w:spacing w:line="360" w:lineRule="auto"/>
        <w:jc w:val="center"/>
        <w:rPr>
          <w:rFonts w:ascii="Century Gothic" w:hAnsi="Century Gothic" w:cs="Arial"/>
          <w:b/>
          <w:szCs w:val="24"/>
        </w:rPr>
      </w:pPr>
    </w:p>
    <w:p w14:paraId="13B7C753" w14:textId="3FC8A1C2" w:rsidR="00C46A41" w:rsidRPr="005D28A2" w:rsidRDefault="00A51F93" w:rsidP="00145E86">
      <w:pPr>
        <w:spacing w:line="360" w:lineRule="auto"/>
        <w:jc w:val="center"/>
        <w:rPr>
          <w:rFonts w:ascii="Century Gothic" w:hAnsi="Century Gothic" w:cs="Arial"/>
          <w:b/>
          <w:szCs w:val="24"/>
        </w:rPr>
      </w:pPr>
      <w:r>
        <w:rPr>
          <w:rFonts w:ascii="Century Gothic" w:hAnsi="Century Gothic" w:cs="Arial"/>
          <w:b/>
          <w:szCs w:val="24"/>
        </w:rPr>
        <w:t>INTRODUCCIÓN</w:t>
      </w:r>
    </w:p>
    <w:p w14:paraId="0C668243" w14:textId="3B4DA307" w:rsidR="00C46A41" w:rsidRPr="00145E86" w:rsidRDefault="00C46A41" w:rsidP="00145E86">
      <w:pPr>
        <w:widowControl w:val="0"/>
        <w:autoSpaceDE w:val="0"/>
        <w:autoSpaceDN w:val="0"/>
        <w:adjustRightInd w:val="0"/>
        <w:spacing w:after="240" w:line="360" w:lineRule="auto"/>
        <w:rPr>
          <w:rFonts w:ascii="Century Gothic" w:hAnsi="Century Gothic" w:cs="Arial"/>
          <w:color w:val="000000"/>
          <w:szCs w:val="24"/>
          <w:lang w:val="en-US"/>
        </w:rPr>
      </w:pPr>
      <w:r w:rsidRPr="005D28A2">
        <w:rPr>
          <w:rFonts w:ascii="Century Gothic" w:hAnsi="Century Gothic" w:cs="Arial"/>
          <w:color w:val="000000"/>
          <w:szCs w:val="24"/>
        </w:rPr>
        <w:t>Una</w:t>
      </w:r>
      <w:r w:rsidRPr="00145E86">
        <w:rPr>
          <w:rFonts w:ascii="Century Gothic" w:hAnsi="Century Gothic" w:cs="Arial"/>
          <w:color w:val="000000"/>
          <w:szCs w:val="24"/>
          <w:lang w:val="en-US"/>
        </w:rPr>
        <w:t xml:space="preserve"> de las </w:t>
      </w:r>
      <w:r w:rsidR="00A51F93">
        <w:rPr>
          <w:rFonts w:ascii="Century Gothic" w:hAnsi="Century Gothic" w:cs="Arial"/>
          <w:color w:val="000000"/>
          <w:szCs w:val="24"/>
          <w:lang w:val="en-US"/>
        </w:rPr>
        <w:t>tareas</w:t>
      </w:r>
      <w:r w:rsidRPr="00145E86">
        <w:rPr>
          <w:rFonts w:ascii="Century Gothic" w:hAnsi="Century Gothic" w:cs="Arial"/>
          <w:color w:val="000000"/>
          <w:szCs w:val="24"/>
          <w:lang w:val="en-US"/>
        </w:rPr>
        <w:t xml:space="preserve"> que tiene la Honorable Cámara de</w:t>
      </w:r>
      <w:r w:rsidRPr="004D1085">
        <w:rPr>
          <w:rFonts w:ascii="Century Gothic" w:hAnsi="Century Gothic" w:cs="Arial"/>
          <w:color w:val="000000"/>
          <w:szCs w:val="24"/>
        </w:rPr>
        <w:t xml:space="preserve"> Diputados es</w:t>
      </w:r>
      <w:r w:rsidRPr="00145E86">
        <w:rPr>
          <w:rFonts w:ascii="Century Gothic" w:hAnsi="Century Gothic" w:cs="Arial"/>
          <w:color w:val="000000"/>
          <w:szCs w:val="24"/>
          <w:lang w:val="en-US"/>
        </w:rPr>
        <w:t xml:space="preserve"> conocer los</w:t>
      </w:r>
      <w:r w:rsidRPr="00A51F93">
        <w:rPr>
          <w:rFonts w:ascii="Century Gothic" w:hAnsi="Century Gothic" w:cs="Arial"/>
          <w:color w:val="000000"/>
          <w:szCs w:val="24"/>
          <w:lang w:val="es-US"/>
        </w:rPr>
        <w:t xml:space="preserve"> avances</w:t>
      </w:r>
      <w:r w:rsidRPr="00A51F93">
        <w:rPr>
          <w:rFonts w:ascii="Century Gothic" w:hAnsi="Century Gothic" w:cs="Arial"/>
          <w:color w:val="000000"/>
          <w:szCs w:val="24"/>
          <w:lang w:val="es-ES"/>
        </w:rPr>
        <w:t xml:space="preserve"> en</w:t>
      </w:r>
      <w:r w:rsidRPr="00145E86">
        <w:rPr>
          <w:rFonts w:ascii="Century Gothic" w:hAnsi="Century Gothic" w:cs="Arial"/>
          <w:color w:val="000000"/>
          <w:szCs w:val="24"/>
          <w:lang w:val="en-US"/>
        </w:rPr>
        <w:t xml:space="preserve"> la</w:t>
      </w:r>
      <w:r w:rsidRPr="00A51F93">
        <w:rPr>
          <w:rFonts w:ascii="Century Gothic" w:hAnsi="Century Gothic" w:cs="Arial"/>
          <w:color w:val="000000"/>
          <w:szCs w:val="24"/>
          <w:lang w:val="es-ES_tradnl"/>
        </w:rPr>
        <w:t xml:space="preserve"> aplicación</w:t>
      </w:r>
      <w:r w:rsidRPr="00145E86">
        <w:rPr>
          <w:rFonts w:ascii="Century Gothic" w:hAnsi="Century Gothic" w:cs="Arial"/>
          <w:color w:val="000000"/>
          <w:szCs w:val="24"/>
          <w:lang w:val="en-US"/>
        </w:rPr>
        <w:t xml:space="preserve"> del presupuesto público. Este seguimiento es parte de las actividades de evaluación que </w:t>
      </w:r>
      <w:r w:rsidR="00A51F93">
        <w:rPr>
          <w:rFonts w:ascii="Century Gothic" w:hAnsi="Century Gothic" w:cs="Arial"/>
          <w:color w:val="000000"/>
          <w:szCs w:val="24"/>
          <w:lang w:val="en-US"/>
        </w:rPr>
        <w:t xml:space="preserve">se </w:t>
      </w:r>
      <w:r w:rsidR="00A51F93" w:rsidRPr="00397002">
        <w:rPr>
          <w:rFonts w:ascii="Century Gothic" w:hAnsi="Century Gothic" w:cs="Arial"/>
          <w:color w:val="000000"/>
          <w:szCs w:val="24"/>
          <w:lang w:val="en-US"/>
        </w:rPr>
        <w:t xml:space="preserve">deben </w:t>
      </w:r>
      <w:r w:rsidRPr="00397002">
        <w:rPr>
          <w:rFonts w:ascii="Century Gothic" w:hAnsi="Century Gothic" w:cs="Arial"/>
          <w:color w:val="000000"/>
          <w:szCs w:val="24"/>
          <w:lang w:val="en-US"/>
        </w:rPr>
        <w:t xml:space="preserve">realizar </w:t>
      </w:r>
      <w:r w:rsidR="00EA71B5" w:rsidRPr="00397002">
        <w:rPr>
          <w:rFonts w:ascii="Century Gothic" w:hAnsi="Century Gothic" w:cs="Arial"/>
          <w:color w:val="000000"/>
          <w:szCs w:val="24"/>
          <w:lang w:val="en-US"/>
        </w:rPr>
        <w:t>con base</w:t>
      </w:r>
      <w:r w:rsidR="00A51F93" w:rsidRPr="00397002">
        <w:rPr>
          <w:rFonts w:ascii="Century Gothic" w:hAnsi="Century Gothic" w:cs="Arial"/>
          <w:color w:val="000000"/>
          <w:szCs w:val="24"/>
          <w:lang w:val="en-US"/>
        </w:rPr>
        <w:t xml:space="preserve"> en los </w:t>
      </w:r>
      <w:r w:rsidRPr="00397002">
        <w:rPr>
          <w:rFonts w:ascii="Century Gothic" w:hAnsi="Century Gothic" w:cs="Arial"/>
          <w:color w:val="000000"/>
          <w:szCs w:val="24"/>
          <w:lang w:val="en-US"/>
        </w:rPr>
        <w:t>resu</w:t>
      </w:r>
      <w:r w:rsidR="00A51F93" w:rsidRPr="00397002">
        <w:rPr>
          <w:rFonts w:ascii="Century Gothic" w:hAnsi="Century Gothic" w:cs="Arial"/>
          <w:color w:val="000000"/>
          <w:szCs w:val="24"/>
          <w:lang w:val="en-US"/>
        </w:rPr>
        <w:t xml:space="preserve">ltados de la gestión financiera </w:t>
      </w:r>
      <w:r w:rsidR="00E24D8A" w:rsidRPr="00397002">
        <w:rPr>
          <w:rFonts w:ascii="Century Gothic" w:hAnsi="Century Gothic" w:cs="Arial"/>
          <w:color w:val="000000"/>
          <w:szCs w:val="24"/>
          <w:lang w:val="en-US"/>
        </w:rPr>
        <w:t>del</w:t>
      </w:r>
      <w:r w:rsidR="00A51F93" w:rsidRPr="00397002">
        <w:rPr>
          <w:rFonts w:ascii="Century Gothic" w:hAnsi="Century Gothic" w:cs="Arial"/>
          <w:color w:val="000000"/>
          <w:szCs w:val="24"/>
          <w:lang w:val="en-US"/>
        </w:rPr>
        <w:t xml:space="preserve"> Gobierno F</w:t>
      </w:r>
      <w:r w:rsidRPr="00397002">
        <w:rPr>
          <w:rFonts w:ascii="Century Gothic" w:hAnsi="Century Gothic" w:cs="Arial"/>
          <w:color w:val="000000"/>
          <w:szCs w:val="24"/>
          <w:lang w:val="en-US"/>
        </w:rPr>
        <w:t>ederal,</w:t>
      </w:r>
      <w:r w:rsidRPr="00145E86">
        <w:rPr>
          <w:rFonts w:ascii="Century Gothic" w:hAnsi="Century Gothic" w:cs="Arial"/>
          <w:color w:val="000000"/>
          <w:szCs w:val="24"/>
          <w:lang w:val="en-US"/>
        </w:rPr>
        <w:t xml:space="preserve"> para comprobar si el ejercicio del gasto se ha ajustado a los criterios señalados por el Presupuesto aprobado por la propia Cámara. </w:t>
      </w:r>
    </w:p>
    <w:p w14:paraId="58CAD522" w14:textId="77777777" w:rsidR="00EA71B5" w:rsidRDefault="00C46A41" w:rsidP="00145E86">
      <w:pPr>
        <w:widowControl w:val="0"/>
        <w:autoSpaceDE w:val="0"/>
        <w:autoSpaceDN w:val="0"/>
        <w:adjustRightInd w:val="0"/>
        <w:spacing w:after="240" w:line="360" w:lineRule="auto"/>
        <w:rPr>
          <w:rFonts w:ascii="Century Gothic" w:hAnsi="Century Gothic" w:cs="Arial"/>
          <w:color w:val="000000"/>
          <w:szCs w:val="24"/>
          <w:lang w:val="en-US"/>
        </w:rPr>
      </w:pPr>
      <w:r w:rsidRPr="00145E86">
        <w:rPr>
          <w:rFonts w:ascii="Century Gothic" w:hAnsi="Century Gothic" w:cs="Arial"/>
          <w:color w:val="000000"/>
          <w:szCs w:val="24"/>
          <w:lang w:val="en-US"/>
        </w:rPr>
        <w:t>Por tal motivo, el Ejecutivo Federal está obligado a informar periódic</w:t>
      </w:r>
      <w:r w:rsidR="00EA71B5">
        <w:rPr>
          <w:rFonts w:ascii="Century Gothic" w:hAnsi="Century Gothic" w:cs="Arial"/>
          <w:color w:val="000000"/>
          <w:szCs w:val="24"/>
          <w:lang w:val="en-US"/>
        </w:rPr>
        <w:t>amente de tales avances.</w:t>
      </w:r>
    </w:p>
    <w:p w14:paraId="53A00647" w14:textId="7ED5F023" w:rsidR="00C46A41" w:rsidRPr="00145E86" w:rsidRDefault="00EA71B5" w:rsidP="00145E86">
      <w:pPr>
        <w:widowControl w:val="0"/>
        <w:autoSpaceDE w:val="0"/>
        <w:autoSpaceDN w:val="0"/>
        <w:adjustRightInd w:val="0"/>
        <w:spacing w:after="240" w:line="360" w:lineRule="auto"/>
        <w:rPr>
          <w:rFonts w:ascii="Century Gothic" w:hAnsi="Century Gothic" w:cs="Times Roman"/>
          <w:color w:val="000000"/>
          <w:szCs w:val="24"/>
          <w:lang w:val="en-US"/>
        </w:rPr>
      </w:pPr>
      <w:r w:rsidRPr="00E24D8A">
        <w:rPr>
          <w:rFonts w:ascii="Century Gothic" w:hAnsi="Century Gothic" w:cs="Arial"/>
          <w:color w:val="000000"/>
          <w:szCs w:val="24"/>
          <w:lang w:val="en-US"/>
        </w:rPr>
        <w:t>En ese</w:t>
      </w:r>
      <w:r w:rsidR="00C46A41" w:rsidRPr="00145E86">
        <w:rPr>
          <w:rFonts w:ascii="Century Gothic" w:hAnsi="Century Gothic" w:cs="Arial"/>
          <w:color w:val="000000"/>
          <w:szCs w:val="24"/>
          <w:lang w:val="en-US"/>
        </w:rPr>
        <w:t xml:space="preserve"> sentido, la Ley Federal de Presupuesto y Responsabilidad Hacendaria (LFPRH), así como las disposiciones en la materia, contempladas en la Ley Federal de Deuda Pública, la Ley de Ingresos de la Federación y el Decreto de Presupuesto de Egresos de la Federación correspondientes, establecen la entrega al H. Congreso de la Unión, de informes mensuales y trimestrales de la evolución de las Finanzas Públicas, por conducto de la Secretaría de Hacienda y Crédito Público. </w:t>
      </w:r>
    </w:p>
    <w:p w14:paraId="3D1DA5A3" w14:textId="7AC55C14" w:rsidR="00C46A41" w:rsidRPr="00145E86" w:rsidRDefault="00C46A41" w:rsidP="00145E86">
      <w:pPr>
        <w:widowControl w:val="0"/>
        <w:autoSpaceDE w:val="0"/>
        <w:autoSpaceDN w:val="0"/>
        <w:adjustRightInd w:val="0"/>
        <w:spacing w:after="240" w:line="360" w:lineRule="auto"/>
        <w:rPr>
          <w:rFonts w:ascii="Century Gothic" w:hAnsi="Century Gothic" w:cs="Times Roman"/>
          <w:color w:val="000000"/>
          <w:szCs w:val="24"/>
          <w:lang w:val="en-US"/>
        </w:rPr>
      </w:pPr>
      <w:r w:rsidRPr="00145E86">
        <w:rPr>
          <w:rFonts w:ascii="Century Gothic" w:hAnsi="Century Gothic" w:cs="Arial"/>
          <w:color w:val="000000"/>
          <w:szCs w:val="24"/>
          <w:lang w:val="en-US"/>
        </w:rPr>
        <w:t xml:space="preserve">Conforme a tales disposiciones, la SHCP envió el pasado </w:t>
      </w:r>
      <w:r w:rsidR="007A6A91">
        <w:rPr>
          <w:rFonts w:ascii="Century Gothic" w:hAnsi="Century Gothic" w:cs="Arial"/>
          <w:color w:val="000000"/>
          <w:szCs w:val="24"/>
          <w:lang w:val="en-US"/>
        </w:rPr>
        <w:t>14 de mayo de 2019</w:t>
      </w:r>
      <w:r w:rsidRPr="00145E86">
        <w:rPr>
          <w:rFonts w:ascii="Century Gothic" w:hAnsi="Century Gothic" w:cs="Arial"/>
          <w:color w:val="000000"/>
          <w:szCs w:val="24"/>
          <w:lang w:val="en-US"/>
        </w:rPr>
        <w:t xml:space="preserve"> el </w:t>
      </w:r>
      <w:r w:rsidRPr="00EA71B5">
        <w:rPr>
          <w:rFonts w:ascii="Century Gothic" w:hAnsi="Century Gothic" w:cs="Arial"/>
          <w:i/>
          <w:color w:val="000000"/>
          <w:szCs w:val="24"/>
          <w:lang w:val="en-US"/>
        </w:rPr>
        <w:t>“Informe Sobre la Situación Económica, las Finanzas Públicas y la Deuda Pública en rela</w:t>
      </w:r>
      <w:r w:rsidR="002B0862" w:rsidRPr="00EA71B5">
        <w:rPr>
          <w:rFonts w:ascii="Century Gothic" w:hAnsi="Century Gothic" w:cs="Arial"/>
          <w:i/>
          <w:color w:val="000000"/>
          <w:szCs w:val="24"/>
          <w:lang w:val="en-US"/>
        </w:rPr>
        <w:t>ción al Primer Trimestre del 2019</w:t>
      </w:r>
      <w:r w:rsidR="00DA0262" w:rsidRPr="00EA71B5">
        <w:rPr>
          <w:rFonts w:ascii="Century Gothic" w:hAnsi="Century Gothic" w:cs="Arial"/>
          <w:i/>
          <w:color w:val="000000"/>
          <w:szCs w:val="24"/>
          <w:lang w:val="en-US"/>
        </w:rPr>
        <w:t>”</w:t>
      </w:r>
      <w:r w:rsidRPr="00EA71B5">
        <w:rPr>
          <w:rFonts w:ascii="Century Gothic" w:hAnsi="Century Gothic" w:cs="Arial"/>
          <w:i/>
          <w:color w:val="000000"/>
          <w:szCs w:val="24"/>
          <w:lang w:val="en-US"/>
        </w:rPr>
        <w:t>.</w:t>
      </w:r>
      <w:r w:rsidRPr="00145E86">
        <w:rPr>
          <w:rFonts w:ascii="Century Gothic" w:hAnsi="Century Gothic" w:cs="Arial"/>
          <w:color w:val="000000"/>
          <w:szCs w:val="24"/>
          <w:lang w:val="en-US"/>
        </w:rPr>
        <w:t xml:space="preserve"> </w:t>
      </w:r>
    </w:p>
    <w:p w14:paraId="356841DF" w14:textId="0D14115B" w:rsidR="00C46A41" w:rsidRPr="00145E86" w:rsidRDefault="00C46A41" w:rsidP="00145E86">
      <w:pPr>
        <w:widowControl w:val="0"/>
        <w:autoSpaceDE w:val="0"/>
        <w:autoSpaceDN w:val="0"/>
        <w:adjustRightInd w:val="0"/>
        <w:spacing w:after="240" w:line="360" w:lineRule="auto"/>
        <w:rPr>
          <w:rFonts w:ascii="Century Gothic" w:hAnsi="Century Gothic" w:cs="Times Roman"/>
          <w:color w:val="000000"/>
          <w:szCs w:val="24"/>
          <w:lang w:val="en-US"/>
        </w:rPr>
      </w:pPr>
      <w:r w:rsidRPr="00145E86">
        <w:rPr>
          <w:rFonts w:ascii="Century Gothic" w:hAnsi="Century Gothic" w:cs="Arial"/>
          <w:color w:val="000000"/>
          <w:szCs w:val="24"/>
          <w:lang w:val="en-US"/>
        </w:rPr>
        <w:t xml:space="preserve">Derivado de ello, la </w:t>
      </w:r>
      <w:r w:rsidRPr="00EA71B5">
        <w:rPr>
          <w:rFonts w:ascii="Century Gothic" w:hAnsi="Century Gothic" w:cs="Arial"/>
          <w:iCs/>
          <w:color w:val="000000"/>
          <w:szCs w:val="24"/>
          <w:lang w:val="en-US"/>
        </w:rPr>
        <w:t>Comisión Asuntos Frontera Sur</w:t>
      </w:r>
      <w:r w:rsidRPr="00EA71B5">
        <w:rPr>
          <w:rFonts w:ascii="Century Gothic" w:hAnsi="Century Gothic" w:cs="Arial"/>
          <w:color w:val="000000"/>
          <w:szCs w:val="24"/>
          <w:lang w:val="en-US"/>
        </w:rPr>
        <w:t>,</w:t>
      </w:r>
      <w:r w:rsidRPr="00145E86">
        <w:rPr>
          <w:rFonts w:ascii="Century Gothic" w:hAnsi="Century Gothic" w:cs="Arial"/>
          <w:color w:val="000000"/>
          <w:szCs w:val="24"/>
          <w:lang w:val="en-US"/>
        </w:rPr>
        <w:t xml:space="preserve"> tiene por objeto analizar el informe y presentar una opinión consecuente, que integra el presente documento, a fin de dar a conocer de forma objetiva e imparcial, lo señalado por </w:t>
      </w:r>
      <w:r w:rsidR="00EA71B5">
        <w:rPr>
          <w:rFonts w:ascii="Century Gothic" w:hAnsi="Century Gothic" w:cs="Arial"/>
          <w:color w:val="000000"/>
          <w:szCs w:val="24"/>
          <w:lang w:val="en-US"/>
        </w:rPr>
        <w:t xml:space="preserve">la </w:t>
      </w:r>
      <w:r w:rsidRPr="00145E86">
        <w:rPr>
          <w:rFonts w:ascii="Century Gothic" w:hAnsi="Century Gothic" w:cs="Arial"/>
          <w:color w:val="000000"/>
          <w:szCs w:val="24"/>
          <w:lang w:val="en-US"/>
        </w:rPr>
        <w:t xml:space="preserve">SHCP </w:t>
      </w:r>
      <w:r w:rsidR="00EA71B5">
        <w:rPr>
          <w:rFonts w:ascii="Century Gothic" w:hAnsi="Century Gothic" w:cs="Arial"/>
          <w:color w:val="000000"/>
          <w:szCs w:val="24"/>
          <w:lang w:val="en-US"/>
        </w:rPr>
        <w:t>sobre el comportamiento de las Finanzas Públicas y la Deuda P</w:t>
      </w:r>
      <w:r w:rsidRPr="00145E86">
        <w:rPr>
          <w:rFonts w:ascii="Century Gothic" w:hAnsi="Century Gothic" w:cs="Arial"/>
          <w:color w:val="000000"/>
          <w:szCs w:val="24"/>
          <w:lang w:val="en-US"/>
        </w:rPr>
        <w:t xml:space="preserve">ública que se registró durante el </w:t>
      </w:r>
      <w:r w:rsidR="002B0862" w:rsidRPr="00145E86">
        <w:rPr>
          <w:rFonts w:ascii="Century Gothic" w:hAnsi="Century Gothic" w:cs="Arial"/>
          <w:color w:val="000000"/>
          <w:szCs w:val="24"/>
          <w:lang w:val="en-US"/>
        </w:rPr>
        <w:t>primer trimestre del 2019</w:t>
      </w:r>
      <w:r w:rsidRPr="00145E86">
        <w:rPr>
          <w:rFonts w:ascii="Century Gothic" w:hAnsi="Century Gothic" w:cs="Arial"/>
          <w:color w:val="000000"/>
          <w:szCs w:val="24"/>
          <w:lang w:val="en-US"/>
        </w:rPr>
        <w:t xml:space="preserve">. </w:t>
      </w:r>
    </w:p>
    <w:p w14:paraId="7BB3D1D0" w14:textId="77777777" w:rsidR="00C46A41" w:rsidRPr="00145E86" w:rsidRDefault="00C46A41" w:rsidP="00145E86">
      <w:pPr>
        <w:widowControl w:val="0"/>
        <w:autoSpaceDE w:val="0"/>
        <w:autoSpaceDN w:val="0"/>
        <w:adjustRightInd w:val="0"/>
        <w:spacing w:after="240" w:line="360" w:lineRule="auto"/>
        <w:rPr>
          <w:rFonts w:ascii="Century Gothic" w:hAnsi="Century Gothic" w:cs="Times Roman"/>
          <w:color w:val="000000"/>
          <w:szCs w:val="24"/>
          <w:lang w:val="en-US"/>
        </w:rPr>
      </w:pPr>
      <w:r w:rsidRPr="00145E86">
        <w:rPr>
          <w:rFonts w:ascii="Century Gothic" w:hAnsi="Century Gothic" w:cs="Arial"/>
          <w:color w:val="000000"/>
          <w:szCs w:val="24"/>
          <w:lang w:val="en-US"/>
        </w:rPr>
        <w:t xml:space="preserve">El documento se divide en diversos apartados: el primero incluye un resumen </w:t>
      </w:r>
      <w:r w:rsidRPr="00145E86">
        <w:rPr>
          <w:rFonts w:ascii="Century Gothic" w:hAnsi="Century Gothic" w:cs="Arial"/>
          <w:color w:val="000000"/>
          <w:szCs w:val="24"/>
          <w:lang w:val="en-US"/>
        </w:rPr>
        <w:lastRenderedPageBreak/>
        <w:t xml:space="preserve">ejecutivo que aborda los principales resultados en materia de economía, finanzas públicas y deuda pública, el segundo contempla los principales resultados de la situación financiera del sector público, reflejada en su balance; el tercero ofrece una revisión del comportamiento de la captación de ingresos presupuestarios; enseguida, el cuarto destaca la situación del gasto neto presupuestario; en tanto que el quinto y el último, presenta el análisis sobre el saldo de los diversos componentes de la deuda pública. </w:t>
      </w:r>
    </w:p>
    <w:p w14:paraId="3C85158B" w14:textId="77777777" w:rsidR="00C46A41" w:rsidRDefault="00C46A41" w:rsidP="00145E86">
      <w:pPr>
        <w:spacing w:line="360" w:lineRule="auto"/>
        <w:jc w:val="center"/>
        <w:rPr>
          <w:rFonts w:ascii="Century Gothic" w:hAnsi="Century Gothic" w:cs="Arial"/>
          <w:b/>
          <w:szCs w:val="24"/>
        </w:rPr>
      </w:pPr>
    </w:p>
    <w:p w14:paraId="58984E6F" w14:textId="77777777" w:rsidR="00145E86" w:rsidRDefault="00145E86" w:rsidP="00145E86">
      <w:pPr>
        <w:spacing w:line="360" w:lineRule="auto"/>
        <w:jc w:val="center"/>
        <w:rPr>
          <w:rFonts w:ascii="Century Gothic" w:hAnsi="Century Gothic" w:cs="Arial"/>
          <w:b/>
          <w:szCs w:val="24"/>
        </w:rPr>
      </w:pPr>
    </w:p>
    <w:p w14:paraId="6605E977" w14:textId="77777777" w:rsidR="00145E86" w:rsidRDefault="00145E86" w:rsidP="00145E86">
      <w:pPr>
        <w:spacing w:line="360" w:lineRule="auto"/>
        <w:jc w:val="center"/>
        <w:rPr>
          <w:rFonts w:ascii="Century Gothic" w:hAnsi="Century Gothic" w:cs="Arial"/>
          <w:b/>
          <w:szCs w:val="24"/>
        </w:rPr>
      </w:pPr>
    </w:p>
    <w:p w14:paraId="0BDA5EB6" w14:textId="77777777" w:rsidR="00145E86" w:rsidRDefault="00145E86" w:rsidP="00145E86">
      <w:pPr>
        <w:spacing w:line="360" w:lineRule="auto"/>
        <w:jc w:val="center"/>
        <w:rPr>
          <w:rFonts w:ascii="Century Gothic" w:hAnsi="Century Gothic" w:cs="Arial"/>
          <w:b/>
          <w:szCs w:val="24"/>
        </w:rPr>
      </w:pPr>
    </w:p>
    <w:p w14:paraId="537035D9" w14:textId="77777777" w:rsidR="00145E86" w:rsidRDefault="00145E86" w:rsidP="00145E86">
      <w:pPr>
        <w:spacing w:line="360" w:lineRule="auto"/>
        <w:jc w:val="center"/>
        <w:rPr>
          <w:rFonts w:ascii="Century Gothic" w:hAnsi="Century Gothic" w:cs="Arial"/>
          <w:b/>
          <w:szCs w:val="24"/>
        </w:rPr>
      </w:pPr>
    </w:p>
    <w:p w14:paraId="12CE957C" w14:textId="77777777" w:rsidR="00145E86" w:rsidRDefault="00145E86" w:rsidP="00145E86">
      <w:pPr>
        <w:spacing w:line="360" w:lineRule="auto"/>
        <w:jc w:val="center"/>
        <w:rPr>
          <w:rFonts w:ascii="Century Gothic" w:hAnsi="Century Gothic" w:cs="Arial"/>
          <w:b/>
          <w:szCs w:val="24"/>
        </w:rPr>
      </w:pPr>
    </w:p>
    <w:p w14:paraId="1A496CBF" w14:textId="77777777" w:rsidR="00145E86" w:rsidRDefault="00145E86" w:rsidP="00145E86">
      <w:pPr>
        <w:spacing w:line="360" w:lineRule="auto"/>
        <w:jc w:val="center"/>
        <w:rPr>
          <w:rFonts w:ascii="Century Gothic" w:hAnsi="Century Gothic" w:cs="Arial"/>
          <w:b/>
          <w:szCs w:val="24"/>
        </w:rPr>
      </w:pPr>
    </w:p>
    <w:p w14:paraId="0DDDA5CB" w14:textId="77777777" w:rsidR="00145E86" w:rsidRDefault="00145E86" w:rsidP="00145E86">
      <w:pPr>
        <w:spacing w:line="360" w:lineRule="auto"/>
        <w:jc w:val="center"/>
        <w:rPr>
          <w:rFonts w:ascii="Century Gothic" w:hAnsi="Century Gothic" w:cs="Arial"/>
          <w:b/>
          <w:szCs w:val="24"/>
        </w:rPr>
      </w:pPr>
    </w:p>
    <w:p w14:paraId="0B2E1E63" w14:textId="77777777" w:rsidR="00145E86" w:rsidRDefault="00145E86" w:rsidP="00145E86">
      <w:pPr>
        <w:spacing w:line="360" w:lineRule="auto"/>
        <w:jc w:val="center"/>
        <w:rPr>
          <w:rFonts w:ascii="Century Gothic" w:hAnsi="Century Gothic" w:cs="Arial"/>
          <w:b/>
          <w:szCs w:val="24"/>
        </w:rPr>
      </w:pPr>
    </w:p>
    <w:p w14:paraId="035073F1" w14:textId="77777777" w:rsidR="00145E86" w:rsidRDefault="00145E86" w:rsidP="00145E86">
      <w:pPr>
        <w:spacing w:line="360" w:lineRule="auto"/>
        <w:jc w:val="center"/>
        <w:rPr>
          <w:rFonts w:ascii="Century Gothic" w:hAnsi="Century Gothic" w:cs="Arial"/>
          <w:b/>
          <w:szCs w:val="24"/>
        </w:rPr>
      </w:pPr>
    </w:p>
    <w:p w14:paraId="407C8BF7" w14:textId="77777777" w:rsidR="00145E86" w:rsidRDefault="00145E86" w:rsidP="00145E86">
      <w:pPr>
        <w:spacing w:line="360" w:lineRule="auto"/>
        <w:jc w:val="center"/>
        <w:rPr>
          <w:rFonts w:ascii="Century Gothic" w:hAnsi="Century Gothic" w:cs="Arial"/>
          <w:b/>
          <w:szCs w:val="24"/>
        </w:rPr>
      </w:pPr>
    </w:p>
    <w:p w14:paraId="05124B0B" w14:textId="77777777" w:rsidR="00145E86" w:rsidRDefault="00145E86" w:rsidP="00145E86">
      <w:pPr>
        <w:spacing w:line="360" w:lineRule="auto"/>
        <w:jc w:val="center"/>
        <w:rPr>
          <w:rFonts w:ascii="Century Gothic" w:hAnsi="Century Gothic" w:cs="Arial"/>
          <w:b/>
          <w:szCs w:val="24"/>
        </w:rPr>
      </w:pPr>
    </w:p>
    <w:p w14:paraId="29D593FA" w14:textId="77777777" w:rsidR="00145E86" w:rsidRDefault="00145E86" w:rsidP="00145E86">
      <w:pPr>
        <w:spacing w:line="360" w:lineRule="auto"/>
        <w:jc w:val="center"/>
        <w:rPr>
          <w:rFonts w:ascii="Century Gothic" w:hAnsi="Century Gothic" w:cs="Arial"/>
          <w:b/>
          <w:szCs w:val="24"/>
        </w:rPr>
      </w:pPr>
    </w:p>
    <w:p w14:paraId="019AB364" w14:textId="77777777" w:rsidR="00145E86" w:rsidRDefault="00145E86" w:rsidP="00145E86">
      <w:pPr>
        <w:spacing w:line="360" w:lineRule="auto"/>
        <w:jc w:val="center"/>
        <w:rPr>
          <w:rFonts w:ascii="Century Gothic" w:hAnsi="Century Gothic" w:cs="Arial"/>
          <w:b/>
          <w:szCs w:val="24"/>
        </w:rPr>
      </w:pPr>
    </w:p>
    <w:p w14:paraId="26E0C771" w14:textId="77777777" w:rsidR="00145E86" w:rsidRDefault="00145E86" w:rsidP="00145E86">
      <w:pPr>
        <w:spacing w:line="360" w:lineRule="auto"/>
        <w:jc w:val="center"/>
        <w:rPr>
          <w:rFonts w:ascii="Century Gothic" w:hAnsi="Century Gothic" w:cs="Arial"/>
          <w:b/>
          <w:szCs w:val="24"/>
        </w:rPr>
      </w:pPr>
    </w:p>
    <w:p w14:paraId="184FF1CD" w14:textId="77777777" w:rsidR="00145E86" w:rsidRDefault="00145E86" w:rsidP="00145E86">
      <w:pPr>
        <w:spacing w:line="360" w:lineRule="auto"/>
        <w:jc w:val="center"/>
        <w:rPr>
          <w:rFonts w:ascii="Century Gothic" w:hAnsi="Century Gothic" w:cs="Arial"/>
          <w:b/>
          <w:szCs w:val="24"/>
        </w:rPr>
      </w:pPr>
    </w:p>
    <w:p w14:paraId="4DFC09D8" w14:textId="77777777" w:rsidR="00145E86" w:rsidRPr="00145E86" w:rsidRDefault="00145E86" w:rsidP="00145E86">
      <w:pPr>
        <w:spacing w:line="360" w:lineRule="auto"/>
        <w:jc w:val="center"/>
        <w:rPr>
          <w:rFonts w:ascii="Century Gothic" w:hAnsi="Century Gothic" w:cs="Arial"/>
          <w:b/>
          <w:szCs w:val="24"/>
        </w:rPr>
      </w:pPr>
    </w:p>
    <w:p w14:paraId="6B6333F5" w14:textId="758823A4" w:rsidR="00EA71B5" w:rsidRPr="00145E86" w:rsidRDefault="00AC57BB" w:rsidP="00EA71B5">
      <w:pPr>
        <w:spacing w:line="360" w:lineRule="auto"/>
        <w:jc w:val="center"/>
        <w:rPr>
          <w:rFonts w:ascii="Century Gothic" w:hAnsi="Century Gothic" w:cs="Arial"/>
          <w:b/>
          <w:szCs w:val="24"/>
        </w:rPr>
      </w:pPr>
      <w:r w:rsidRPr="00145E86">
        <w:rPr>
          <w:rFonts w:ascii="Century Gothic" w:hAnsi="Century Gothic" w:cs="Arial"/>
          <w:b/>
          <w:szCs w:val="24"/>
        </w:rPr>
        <w:t>Opinión de la Comisión Asuntos Frontera Sur</w:t>
      </w:r>
    </w:p>
    <w:p w14:paraId="36C9B0FA" w14:textId="501B26AD" w:rsidR="000D769D" w:rsidRPr="00145E86" w:rsidRDefault="002B0862" w:rsidP="00145E86">
      <w:pPr>
        <w:spacing w:line="360" w:lineRule="auto"/>
        <w:rPr>
          <w:rFonts w:ascii="Century Gothic" w:hAnsi="Century Gothic"/>
          <w:noProof/>
          <w:szCs w:val="24"/>
          <w:lang w:eastAsia="es-MX"/>
        </w:rPr>
      </w:pPr>
      <w:r w:rsidRPr="00145E86">
        <w:rPr>
          <w:rFonts w:ascii="Century Gothic" w:hAnsi="Century Gothic"/>
          <w:noProof/>
          <w:szCs w:val="24"/>
          <w:lang w:eastAsia="es-MX"/>
        </w:rPr>
        <w:t xml:space="preserve">Durante </w:t>
      </w:r>
      <w:r w:rsidR="000D769D" w:rsidRPr="00145E86">
        <w:rPr>
          <w:rFonts w:ascii="Century Gothic" w:hAnsi="Century Gothic"/>
          <w:noProof/>
          <w:szCs w:val="24"/>
          <w:lang w:eastAsia="es-MX"/>
        </w:rPr>
        <w:t xml:space="preserve">el primer trimestre del 2019 se puede apreciar una estabilidad de los mercados financieros internacionales debido </w:t>
      </w:r>
      <w:r w:rsidRPr="00145E86">
        <w:rPr>
          <w:rFonts w:ascii="Century Gothic" w:hAnsi="Century Gothic"/>
          <w:noProof/>
          <w:szCs w:val="24"/>
          <w:lang w:eastAsia="es-MX"/>
        </w:rPr>
        <w:t>a la alta volatilidad que se mo</w:t>
      </w:r>
      <w:r w:rsidR="000D769D" w:rsidRPr="00145E86">
        <w:rPr>
          <w:rFonts w:ascii="Century Gothic" w:hAnsi="Century Gothic"/>
          <w:noProof/>
          <w:szCs w:val="24"/>
          <w:lang w:eastAsia="es-MX"/>
        </w:rPr>
        <w:t xml:space="preserve">stro a finales del 2018. Respecto al trimestre anterior, </w:t>
      </w:r>
      <w:r w:rsidRPr="00145E86">
        <w:rPr>
          <w:rFonts w:ascii="Century Gothic" w:hAnsi="Century Gothic"/>
          <w:noProof/>
          <w:szCs w:val="24"/>
          <w:lang w:eastAsia="es-MX"/>
        </w:rPr>
        <w:t>podemos reconocer que se tuvo</w:t>
      </w:r>
      <w:r w:rsidR="00EA71B5">
        <w:rPr>
          <w:rFonts w:ascii="Century Gothic" w:hAnsi="Century Gothic"/>
          <w:noProof/>
          <w:szCs w:val="24"/>
          <w:lang w:eastAsia="es-MX"/>
        </w:rPr>
        <w:t xml:space="preserve"> una red</w:t>
      </w:r>
      <w:r w:rsidR="000D769D" w:rsidRPr="00145E86">
        <w:rPr>
          <w:rFonts w:ascii="Century Gothic" w:hAnsi="Century Gothic"/>
          <w:noProof/>
          <w:szCs w:val="24"/>
          <w:lang w:eastAsia="es-MX"/>
        </w:rPr>
        <w:t xml:space="preserve">ucción en la volatilidad cambiaria con respecto al dólar y los mercados accionarios </w:t>
      </w:r>
      <w:r w:rsidR="00085F34" w:rsidRPr="00145E86">
        <w:rPr>
          <w:rFonts w:ascii="Century Gothic" w:hAnsi="Century Gothic"/>
          <w:noProof/>
          <w:szCs w:val="24"/>
          <w:lang w:eastAsia="es-MX"/>
        </w:rPr>
        <w:t>que muestran una recuperacion po</w:t>
      </w:r>
      <w:r w:rsidRPr="00145E86">
        <w:rPr>
          <w:rFonts w:ascii="Century Gothic" w:hAnsi="Century Gothic"/>
          <w:noProof/>
          <w:szCs w:val="24"/>
          <w:lang w:eastAsia="es-MX"/>
        </w:rPr>
        <w:t>sitiva.</w:t>
      </w:r>
    </w:p>
    <w:p w14:paraId="72972622" w14:textId="086285FE" w:rsidR="004B6016" w:rsidRDefault="000D769D" w:rsidP="00145E86">
      <w:pPr>
        <w:spacing w:line="360" w:lineRule="auto"/>
        <w:rPr>
          <w:rFonts w:ascii="Century Gothic" w:hAnsi="Century Gothic"/>
          <w:noProof/>
          <w:szCs w:val="24"/>
          <w:lang w:eastAsia="es-MX"/>
        </w:rPr>
      </w:pPr>
      <w:r w:rsidRPr="00145E86">
        <w:rPr>
          <w:rFonts w:ascii="Century Gothic" w:hAnsi="Century Gothic"/>
          <w:noProof/>
          <w:szCs w:val="24"/>
          <w:lang w:eastAsia="es-MX"/>
        </w:rPr>
        <w:t>Como ya sabemos, la actividad económica de México durante 2018 registró un crecimiento anual de 2.0%, como resultado de la expansión de los sectores primario y terciario;</w:t>
      </w:r>
      <w:r w:rsidR="00085F34" w:rsidRPr="00145E86">
        <w:rPr>
          <w:rFonts w:ascii="Century Gothic" w:hAnsi="Century Gothic"/>
          <w:noProof/>
          <w:szCs w:val="24"/>
          <w:lang w:eastAsia="es-MX"/>
        </w:rPr>
        <w:t xml:space="preserve"> es importante señalar que en el primer bimestre del 2019, la actividad economica tuvo un crecimiento significativo aunque con una desaceleración, resultando un incremento real anual de 1.2%</w:t>
      </w:r>
    </w:p>
    <w:p w14:paraId="46BB04A4" w14:textId="43EFD2B7" w:rsidR="005D28A2" w:rsidRPr="00145E86" w:rsidRDefault="005D28A2" w:rsidP="005D28A2">
      <w:pPr>
        <w:spacing w:line="360" w:lineRule="auto"/>
        <w:jc w:val="center"/>
        <w:rPr>
          <w:rFonts w:ascii="Century Gothic" w:hAnsi="Century Gothic"/>
          <w:noProof/>
          <w:szCs w:val="24"/>
          <w:lang w:eastAsia="es-MX"/>
        </w:rPr>
      </w:pPr>
      <w:r>
        <w:rPr>
          <w:noProof/>
          <w:lang w:eastAsia="es-MX"/>
        </w:rPr>
        <w:drawing>
          <wp:inline distT="0" distB="0" distL="0" distR="0" wp14:anchorId="62739C28" wp14:editId="6BB08D6B">
            <wp:extent cx="3817123" cy="2619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705" t="16898" r="21420" b="12492"/>
                    <a:stretch/>
                  </pic:blipFill>
                  <pic:spPr bwMode="auto">
                    <a:xfrm>
                      <a:off x="0" y="0"/>
                      <a:ext cx="3830596" cy="2628621"/>
                    </a:xfrm>
                    <a:prstGeom prst="rect">
                      <a:avLst/>
                    </a:prstGeom>
                    <a:ln>
                      <a:noFill/>
                    </a:ln>
                    <a:extLst>
                      <a:ext uri="{53640926-AAD7-44D8-BBD7-CCE9431645EC}">
                        <a14:shadowObscured xmlns:a14="http://schemas.microsoft.com/office/drawing/2010/main"/>
                      </a:ext>
                    </a:extLst>
                  </pic:spPr>
                </pic:pic>
              </a:graphicData>
            </a:graphic>
          </wp:inline>
        </w:drawing>
      </w:r>
    </w:p>
    <w:p w14:paraId="2B9ED2D9" w14:textId="77777777" w:rsidR="004B6016" w:rsidRPr="00145E86" w:rsidRDefault="00EC62B8" w:rsidP="00145E86">
      <w:pPr>
        <w:spacing w:line="360" w:lineRule="auto"/>
        <w:rPr>
          <w:rFonts w:ascii="Century Gothic" w:hAnsi="Century Gothic"/>
          <w:noProof/>
          <w:szCs w:val="24"/>
          <w:lang w:eastAsia="es-MX"/>
        </w:rPr>
      </w:pPr>
      <w:r w:rsidRPr="00145E86">
        <w:rPr>
          <w:rFonts w:ascii="Century Gothic" w:hAnsi="Century Gothic"/>
          <w:noProof/>
          <w:szCs w:val="24"/>
          <w:lang w:eastAsia="es-MX"/>
        </w:rPr>
        <w:t xml:space="preserve">Según los datos que tenemos disponibles de marzo del 2019 se observa </w:t>
      </w:r>
      <w:r w:rsidR="00145E86" w:rsidRPr="00145E86">
        <w:rPr>
          <w:rFonts w:ascii="Century Gothic" w:hAnsi="Century Gothic"/>
          <w:noProof/>
          <w:szCs w:val="24"/>
          <w:lang w:eastAsia="es-MX"/>
        </w:rPr>
        <w:t>que efectivamente</w:t>
      </w:r>
      <w:r w:rsidRPr="00145E86">
        <w:rPr>
          <w:rFonts w:ascii="Century Gothic" w:hAnsi="Century Gothic"/>
          <w:noProof/>
          <w:szCs w:val="24"/>
          <w:lang w:eastAsia="es-MX"/>
        </w:rPr>
        <w:t xml:space="preserve"> el mercado laboral registra un comportamiento estable, lo cual se ve reflejado en una tasa de desocupacion de 3.6%</w:t>
      </w:r>
      <w:r w:rsidR="00751553" w:rsidRPr="00145E86">
        <w:rPr>
          <w:rFonts w:ascii="Century Gothic" w:hAnsi="Century Gothic"/>
          <w:noProof/>
          <w:szCs w:val="24"/>
          <w:lang w:eastAsia="es-MX"/>
        </w:rPr>
        <w:t xml:space="preserve"> de la PEA, ligeramente arriba de la que se registró en diciembre del 2018 que fue de 3.5%</w:t>
      </w:r>
    </w:p>
    <w:p w14:paraId="070BA946" w14:textId="3B981D3E" w:rsidR="007017EF" w:rsidRPr="00145E86" w:rsidRDefault="00EA71B5" w:rsidP="00145E86">
      <w:pPr>
        <w:spacing w:line="360" w:lineRule="auto"/>
        <w:rPr>
          <w:rFonts w:ascii="Century Gothic" w:hAnsi="Century Gothic"/>
          <w:noProof/>
          <w:szCs w:val="24"/>
          <w:lang w:eastAsia="es-MX"/>
        </w:rPr>
      </w:pPr>
      <w:r>
        <w:rPr>
          <w:rFonts w:ascii="Century Gothic" w:hAnsi="Century Gothic"/>
          <w:noProof/>
          <w:szCs w:val="24"/>
          <w:lang w:eastAsia="es-MX"/>
        </w:rPr>
        <w:lastRenderedPageBreak/>
        <w:t xml:space="preserve">Tambien la evolución </w:t>
      </w:r>
      <w:r w:rsidR="00B9703C" w:rsidRPr="00145E86">
        <w:rPr>
          <w:rFonts w:ascii="Century Gothic" w:hAnsi="Century Gothic"/>
          <w:noProof/>
          <w:szCs w:val="24"/>
          <w:lang w:eastAsia="es-MX"/>
        </w:rPr>
        <w:t>de la inflacion fue favorable ya que tuvo un ritmo de crecimiento lento y se t</w:t>
      </w:r>
      <w:r>
        <w:rPr>
          <w:rFonts w:ascii="Century Gothic" w:hAnsi="Century Gothic"/>
          <w:noProof/>
          <w:szCs w:val="24"/>
          <w:lang w:eastAsia="es-MX"/>
        </w:rPr>
        <w:t xml:space="preserve">uvo un aumento al salario mínimo. </w:t>
      </w:r>
    </w:p>
    <w:p w14:paraId="72C94352" w14:textId="77777777" w:rsidR="00EA71B5" w:rsidRDefault="007017EF" w:rsidP="00145E86">
      <w:pPr>
        <w:spacing w:line="360" w:lineRule="auto"/>
        <w:rPr>
          <w:rFonts w:ascii="Century Gothic" w:hAnsi="Century Gothic"/>
          <w:noProof/>
          <w:szCs w:val="24"/>
          <w:lang w:eastAsia="es-MX"/>
        </w:rPr>
      </w:pPr>
      <w:r w:rsidRPr="00145E86">
        <w:rPr>
          <w:rFonts w:ascii="Century Gothic" w:hAnsi="Century Gothic"/>
          <w:noProof/>
          <w:szCs w:val="24"/>
          <w:lang w:eastAsia="es-MX"/>
        </w:rPr>
        <w:t xml:space="preserve">Un cambio desde luego significativo fue la favorable evolucion de la inflacion ya que su crecimiento fue de menor ritmo, </w:t>
      </w:r>
      <w:r w:rsidR="00EC62B8" w:rsidRPr="00145E86">
        <w:rPr>
          <w:rFonts w:ascii="Century Gothic" w:hAnsi="Century Gothic"/>
          <w:noProof/>
          <w:szCs w:val="24"/>
          <w:lang w:eastAsia="es-MX"/>
        </w:rPr>
        <w:t>el desempeño estable del mercado laboral, así como el aumento al salario mínimo a inicio de 2019 se reflejó en el crecimiento de los salarios reales.</w:t>
      </w:r>
      <w:r w:rsidRPr="00145E86">
        <w:rPr>
          <w:rFonts w:ascii="Century Gothic" w:hAnsi="Century Gothic"/>
          <w:noProof/>
          <w:szCs w:val="24"/>
          <w:lang w:eastAsia="es-MX"/>
        </w:rPr>
        <w:t xml:space="preserve"> Teniendo como resultado una inflación general anual de 4.83% en diciembre de 2018 pasando a 4.00% en marzo de 2019. </w:t>
      </w:r>
    </w:p>
    <w:p w14:paraId="65699F1F" w14:textId="55A695AF" w:rsidR="00EC62B8" w:rsidRPr="00145E86" w:rsidRDefault="007017EF" w:rsidP="00145E86">
      <w:pPr>
        <w:spacing w:line="360" w:lineRule="auto"/>
        <w:rPr>
          <w:rFonts w:ascii="Century Gothic" w:hAnsi="Century Gothic"/>
          <w:noProof/>
          <w:szCs w:val="24"/>
          <w:lang w:eastAsia="es-MX"/>
        </w:rPr>
      </w:pPr>
      <w:r w:rsidRPr="00145E86">
        <w:rPr>
          <w:rFonts w:ascii="Century Gothic" w:hAnsi="Century Gothic"/>
          <w:noProof/>
          <w:szCs w:val="24"/>
          <w:lang w:eastAsia="es-MX"/>
        </w:rPr>
        <w:t>Al 29 de marzo, la moneda nacional se ubicó en 19.42 pesos por dólar, lo cual implica una apreciación de 1.13% con respecto al cierre de 2018.</w:t>
      </w:r>
    </w:p>
    <w:p w14:paraId="6FAEA5DE" w14:textId="527279FE" w:rsidR="00B84D77" w:rsidRDefault="00347E8A" w:rsidP="00B84D77">
      <w:pPr>
        <w:spacing w:line="360" w:lineRule="auto"/>
        <w:jc w:val="center"/>
        <w:rPr>
          <w:rFonts w:ascii="Century Gothic" w:hAnsi="Century Gothic"/>
          <w:noProof/>
          <w:szCs w:val="24"/>
          <w:lang w:eastAsia="es-MX"/>
        </w:rPr>
      </w:pPr>
      <w:r>
        <w:rPr>
          <w:noProof/>
          <w:lang w:eastAsia="es-MX"/>
        </w:rPr>
        <w:drawing>
          <wp:inline distT="0" distB="0" distL="0" distR="0" wp14:anchorId="0CBEEEED" wp14:editId="116E633C">
            <wp:extent cx="5010150" cy="33227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02" t="16595" r="17685" b="6156"/>
                    <a:stretch/>
                  </pic:blipFill>
                  <pic:spPr bwMode="auto">
                    <a:xfrm>
                      <a:off x="0" y="0"/>
                      <a:ext cx="5025402" cy="3332907"/>
                    </a:xfrm>
                    <a:prstGeom prst="rect">
                      <a:avLst/>
                    </a:prstGeom>
                    <a:ln>
                      <a:noFill/>
                    </a:ln>
                    <a:extLst>
                      <a:ext uri="{53640926-AAD7-44D8-BBD7-CCE9431645EC}">
                        <a14:shadowObscured xmlns:a14="http://schemas.microsoft.com/office/drawing/2010/main"/>
                      </a:ext>
                    </a:extLst>
                  </pic:spPr>
                </pic:pic>
              </a:graphicData>
            </a:graphic>
          </wp:inline>
        </w:drawing>
      </w:r>
    </w:p>
    <w:p w14:paraId="200A470C" w14:textId="69532B18" w:rsidR="004B6016" w:rsidRDefault="007017EF" w:rsidP="00B84D77">
      <w:pPr>
        <w:spacing w:line="360" w:lineRule="auto"/>
        <w:rPr>
          <w:rFonts w:ascii="Century Gothic" w:hAnsi="Century Gothic"/>
          <w:noProof/>
          <w:szCs w:val="24"/>
          <w:lang w:eastAsia="es-MX"/>
        </w:rPr>
      </w:pPr>
      <w:r w:rsidRPr="00145E86">
        <w:rPr>
          <w:rFonts w:ascii="Century Gothic" w:hAnsi="Century Gothic"/>
          <w:noProof/>
          <w:szCs w:val="24"/>
          <w:lang w:eastAsia="es-MX"/>
        </w:rPr>
        <w:t>Respecto</w:t>
      </w:r>
      <w:r w:rsidR="00EA71B5">
        <w:rPr>
          <w:rFonts w:ascii="Century Gothic" w:hAnsi="Century Gothic"/>
          <w:noProof/>
          <w:szCs w:val="24"/>
          <w:lang w:eastAsia="es-MX"/>
        </w:rPr>
        <w:t xml:space="preserve"> al primer trimestre del 2019, e</w:t>
      </w:r>
      <w:r w:rsidRPr="00145E86">
        <w:rPr>
          <w:rFonts w:ascii="Century Gothic" w:hAnsi="Century Gothic"/>
          <w:noProof/>
          <w:szCs w:val="24"/>
          <w:lang w:eastAsia="es-MX"/>
        </w:rPr>
        <w:t>ntre enero y marzo, se registró un superávit primario del sector público, definido como la diferencia entre los ingresos totales y los gastos distintos del costo financiero, de 98 mil 1 millones de pesos, mayor al monto previsto originalmente de 81 mil 636 millones de pesos y al registrado el año anterior de 38 mil 205 mil</w:t>
      </w:r>
      <w:r w:rsidR="00EA71B5">
        <w:rPr>
          <w:rFonts w:ascii="Century Gothic" w:hAnsi="Century Gothic"/>
          <w:noProof/>
          <w:szCs w:val="24"/>
          <w:lang w:eastAsia="es-MX"/>
        </w:rPr>
        <w:t>lones de pesos. En el mismo perí</w:t>
      </w:r>
      <w:r w:rsidRPr="00145E86">
        <w:rPr>
          <w:rFonts w:ascii="Century Gothic" w:hAnsi="Century Gothic"/>
          <w:noProof/>
          <w:szCs w:val="24"/>
          <w:lang w:eastAsia="es-MX"/>
        </w:rPr>
        <w:t xml:space="preserve">odo, el balance del sector público presentó un déficit de 24 mil </w:t>
      </w:r>
      <w:r w:rsidRPr="00145E86">
        <w:rPr>
          <w:rFonts w:ascii="Century Gothic" w:hAnsi="Century Gothic"/>
          <w:noProof/>
          <w:szCs w:val="24"/>
          <w:lang w:eastAsia="es-MX"/>
        </w:rPr>
        <w:lastRenderedPageBreak/>
        <w:t>483 millones de pesos, el cual es menor al déficit previsto en el programa de 67 mil 703 millones de pesos y al déficit de 91 mil 937 millones de pesos, es de considerar estar al pendiente de cada una de las fluctuaciones que se va</w:t>
      </w:r>
      <w:r w:rsidR="00EA71B5">
        <w:rPr>
          <w:rFonts w:ascii="Century Gothic" w:hAnsi="Century Gothic"/>
          <w:noProof/>
          <w:szCs w:val="24"/>
          <w:lang w:eastAsia="es-MX"/>
        </w:rPr>
        <w:t>n teniendo en los superavit y dé</w:t>
      </w:r>
      <w:r w:rsidRPr="00145E86">
        <w:rPr>
          <w:rFonts w:ascii="Century Gothic" w:hAnsi="Century Gothic"/>
          <w:noProof/>
          <w:szCs w:val="24"/>
          <w:lang w:eastAsia="es-MX"/>
        </w:rPr>
        <w:t>ficit, para poder ver de</w:t>
      </w:r>
      <w:r w:rsidR="00EA71B5">
        <w:rPr>
          <w:rFonts w:ascii="Century Gothic" w:hAnsi="Century Gothic"/>
          <w:noProof/>
          <w:szCs w:val="24"/>
          <w:lang w:eastAsia="es-MX"/>
        </w:rPr>
        <w:t xml:space="preserve"> qué</w:t>
      </w:r>
      <w:r w:rsidRPr="00145E86">
        <w:rPr>
          <w:rFonts w:ascii="Century Gothic" w:hAnsi="Century Gothic"/>
          <w:noProof/>
          <w:szCs w:val="24"/>
          <w:lang w:eastAsia="es-MX"/>
        </w:rPr>
        <w:t xml:space="preserve"> manera la economía se va haciendo presente.</w:t>
      </w:r>
    </w:p>
    <w:p w14:paraId="3898E63D" w14:textId="6EDF33C0" w:rsidR="00F263BC" w:rsidRDefault="00F263BC" w:rsidP="00F263BC">
      <w:pPr>
        <w:spacing w:line="360" w:lineRule="auto"/>
        <w:jc w:val="center"/>
        <w:rPr>
          <w:rFonts w:ascii="Century Gothic" w:hAnsi="Century Gothic"/>
          <w:noProof/>
          <w:szCs w:val="24"/>
          <w:lang w:eastAsia="es-MX"/>
        </w:rPr>
      </w:pPr>
      <w:r>
        <w:rPr>
          <w:noProof/>
          <w:lang w:eastAsia="es-MX"/>
        </w:rPr>
        <w:drawing>
          <wp:inline distT="0" distB="0" distL="0" distR="0" wp14:anchorId="6F7D7CCA" wp14:editId="27EAF917">
            <wp:extent cx="5029200" cy="406693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68" t="23839" r="27019" b="8570"/>
                    <a:stretch/>
                  </pic:blipFill>
                  <pic:spPr bwMode="auto">
                    <a:xfrm>
                      <a:off x="0" y="0"/>
                      <a:ext cx="5038964" cy="4074830"/>
                    </a:xfrm>
                    <a:prstGeom prst="rect">
                      <a:avLst/>
                    </a:prstGeom>
                    <a:ln>
                      <a:noFill/>
                    </a:ln>
                    <a:extLst>
                      <a:ext uri="{53640926-AAD7-44D8-BBD7-CCE9431645EC}">
                        <a14:shadowObscured xmlns:a14="http://schemas.microsoft.com/office/drawing/2010/main"/>
                      </a:ext>
                    </a:extLst>
                  </pic:spPr>
                </pic:pic>
              </a:graphicData>
            </a:graphic>
          </wp:inline>
        </w:drawing>
      </w:r>
    </w:p>
    <w:p w14:paraId="03D13EB8" w14:textId="63824084" w:rsidR="00F263BC" w:rsidRPr="00F263BC" w:rsidRDefault="00F263BC" w:rsidP="00F263BC">
      <w:pPr>
        <w:spacing w:line="360" w:lineRule="auto"/>
        <w:rPr>
          <w:rFonts w:ascii="Century Gothic" w:hAnsi="Century Gothic"/>
          <w:noProof/>
          <w:szCs w:val="24"/>
          <w:lang w:eastAsia="es-MX"/>
        </w:rPr>
      </w:pPr>
      <w:r w:rsidRPr="00F263BC">
        <w:rPr>
          <w:rFonts w:ascii="Century Gothic" w:hAnsi="Century Gothic"/>
          <w:noProof/>
          <w:szCs w:val="24"/>
          <w:lang w:eastAsia="es-MX"/>
        </w:rPr>
        <w:t xml:space="preserve">Los ingresos tributarios sumaron 857 mil 996 millones de pesos, crecieron 5.1% en términos reales y se ubicaron 3 mil 471 millones de pesos debajo del programado. La diferencia con respecto al programa se explica principalmente por una menor recaudación </w:t>
      </w:r>
      <w:r w:rsidR="00E24D8A">
        <w:rPr>
          <w:rFonts w:ascii="Century Gothic" w:hAnsi="Century Gothic"/>
          <w:noProof/>
          <w:szCs w:val="24"/>
          <w:lang w:eastAsia="es-MX"/>
        </w:rPr>
        <w:t>neta de IVA observada en el perí</w:t>
      </w:r>
      <w:r w:rsidRPr="00F263BC">
        <w:rPr>
          <w:rFonts w:ascii="Century Gothic" w:hAnsi="Century Gothic"/>
          <w:noProof/>
          <w:szCs w:val="24"/>
          <w:lang w:eastAsia="es-MX"/>
        </w:rPr>
        <w:t>odo, derivado de un incremento en el pago de devoluciones durante el primer trimestre del año, las cuales aumentaron 26.8% en términos reales con respecto a las pagadas en el primer trimestre de 2018, ya que la recaudación bruta de</w:t>
      </w:r>
      <w:r w:rsidR="00E24D8A">
        <w:rPr>
          <w:rFonts w:ascii="Century Gothic" w:hAnsi="Century Gothic"/>
          <w:noProof/>
          <w:szCs w:val="24"/>
          <w:lang w:eastAsia="es-MX"/>
        </w:rPr>
        <w:t>l</w:t>
      </w:r>
      <w:r w:rsidRPr="00F263BC">
        <w:rPr>
          <w:rFonts w:ascii="Century Gothic" w:hAnsi="Century Gothic"/>
          <w:noProof/>
          <w:szCs w:val="24"/>
          <w:lang w:eastAsia="es-MX"/>
        </w:rPr>
        <w:t xml:space="preserve"> IVA registró un crecimiento real de 1.7% en dicho periodo</w:t>
      </w:r>
      <w:r w:rsidR="007A6A91">
        <w:rPr>
          <w:rFonts w:ascii="Century Gothic" w:hAnsi="Century Gothic"/>
          <w:noProof/>
          <w:szCs w:val="24"/>
          <w:lang w:eastAsia="es-MX"/>
        </w:rPr>
        <w:t>.</w:t>
      </w:r>
    </w:p>
    <w:p w14:paraId="12D6EB99" w14:textId="5A191842" w:rsidR="00B84D77" w:rsidRDefault="00B84D77" w:rsidP="00B84D77">
      <w:pPr>
        <w:spacing w:line="360" w:lineRule="auto"/>
        <w:rPr>
          <w:rFonts w:ascii="Century Gothic" w:hAnsi="Century Gothic"/>
          <w:noProof/>
          <w:szCs w:val="24"/>
          <w:lang w:eastAsia="es-MX"/>
        </w:rPr>
      </w:pPr>
      <w:r>
        <w:rPr>
          <w:noProof/>
          <w:lang w:eastAsia="es-MX"/>
        </w:rPr>
        <w:lastRenderedPageBreak/>
        <w:drawing>
          <wp:inline distT="0" distB="0" distL="0" distR="0" wp14:anchorId="0FC4875A" wp14:editId="01894657">
            <wp:extent cx="5611604" cy="387667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84" t="17199" r="29735" b="31730"/>
                    <a:stretch/>
                  </pic:blipFill>
                  <pic:spPr bwMode="auto">
                    <a:xfrm>
                      <a:off x="0" y="0"/>
                      <a:ext cx="5612130" cy="3877038"/>
                    </a:xfrm>
                    <a:prstGeom prst="rect">
                      <a:avLst/>
                    </a:prstGeom>
                    <a:ln>
                      <a:noFill/>
                    </a:ln>
                    <a:extLst>
                      <a:ext uri="{53640926-AAD7-44D8-BBD7-CCE9431645EC}">
                        <a14:shadowObscured xmlns:a14="http://schemas.microsoft.com/office/drawing/2010/main"/>
                      </a:ext>
                    </a:extLst>
                  </pic:spPr>
                </pic:pic>
              </a:graphicData>
            </a:graphic>
          </wp:inline>
        </w:drawing>
      </w:r>
    </w:p>
    <w:p w14:paraId="2E69B163" w14:textId="0E10E300" w:rsidR="007A6A91" w:rsidRPr="00F263BC" w:rsidRDefault="007A6A91" w:rsidP="007A6A91">
      <w:pPr>
        <w:spacing w:line="360" w:lineRule="auto"/>
        <w:rPr>
          <w:rFonts w:ascii="Century Gothic" w:hAnsi="Century Gothic"/>
          <w:noProof/>
          <w:szCs w:val="24"/>
          <w:lang w:eastAsia="es-MX"/>
        </w:rPr>
      </w:pPr>
      <w:r w:rsidRPr="00F263BC">
        <w:rPr>
          <w:rFonts w:ascii="Century Gothic" w:hAnsi="Century Gothic"/>
          <w:noProof/>
          <w:szCs w:val="24"/>
          <w:lang w:eastAsia="es-MX"/>
        </w:rPr>
        <w:t>Destaca el crecimiento real del ISR de 1.9% con respecto al mismo lapso de 2018.</w:t>
      </w:r>
    </w:p>
    <w:p w14:paraId="4EBC33F0" w14:textId="5DE2C9C3" w:rsidR="004D1085" w:rsidRPr="00145E86" w:rsidRDefault="004D1085" w:rsidP="00145E86">
      <w:pPr>
        <w:spacing w:line="360" w:lineRule="auto"/>
        <w:rPr>
          <w:rFonts w:ascii="Century Gothic" w:hAnsi="Century Gothic"/>
          <w:noProof/>
          <w:szCs w:val="24"/>
          <w:lang w:eastAsia="es-MX"/>
        </w:rPr>
      </w:pPr>
    </w:p>
    <w:p w14:paraId="4DD48694" w14:textId="363FE245" w:rsidR="00F263BC" w:rsidRDefault="00F263BC" w:rsidP="007A6A91">
      <w:pPr>
        <w:spacing w:line="360" w:lineRule="auto"/>
        <w:jc w:val="center"/>
        <w:rPr>
          <w:rFonts w:ascii="Century Gothic" w:hAnsi="Century Gothic"/>
          <w:noProof/>
          <w:szCs w:val="24"/>
          <w:lang w:eastAsia="es-MX"/>
        </w:rPr>
      </w:pPr>
      <w:r>
        <w:rPr>
          <w:noProof/>
          <w:lang w:eastAsia="es-MX"/>
        </w:rPr>
        <w:lastRenderedPageBreak/>
        <w:drawing>
          <wp:inline distT="0" distB="0" distL="0" distR="0" wp14:anchorId="41F0F683" wp14:editId="2790D476">
            <wp:extent cx="5172075" cy="4206622"/>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92" t="17833" r="25676" b="10831"/>
                    <a:stretch/>
                  </pic:blipFill>
                  <pic:spPr bwMode="auto">
                    <a:xfrm>
                      <a:off x="0" y="0"/>
                      <a:ext cx="5172075" cy="4206622"/>
                    </a:xfrm>
                    <a:prstGeom prst="rect">
                      <a:avLst/>
                    </a:prstGeom>
                    <a:ln>
                      <a:noFill/>
                    </a:ln>
                    <a:extLst>
                      <a:ext uri="{53640926-AAD7-44D8-BBD7-CCE9431645EC}">
                        <a14:shadowObscured xmlns:a14="http://schemas.microsoft.com/office/drawing/2010/main"/>
                      </a:ext>
                    </a:extLst>
                  </pic:spPr>
                </pic:pic>
              </a:graphicData>
            </a:graphic>
          </wp:inline>
        </w:drawing>
      </w:r>
    </w:p>
    <w:p w14:paraId="3423F998" w14:textId="10AD733C" w:rsidR="007A6A91" w:rsidRDefault="007A6A91" w:rsidP="007A6A91">
      <w:pPr>
        <w:spacing w:line="360" w:lineRule="auto"/>
        <w:rPr>
          <w:rFonts w:ascii="Century Gothic" w:hAnsi="Century Gothic"/>
          <w:noProof/>
          <w:szCs w:val="24"/>
          <w:lang w:eastAsia="es-MX"/>
        </w:rPr>
      </w:pPr>
      <w:r>
        <w:rPr>
          <w:noProof/>
          <w:lang w:eastAsia="es-MX"/>
        </w:rPr>
        <w:drawing>
          <wp:anchor distT="0" distB="0" distL="114300" distR="114300" simplePos="0" relativeHeight="251658752" behindDoc="0" locked="0" layoutInCell="1" allowOverlap="1" wp14:anchorId="3C7CEDDD" wp14:editId="043C23E9">
            <wp:simplePos x="0" y="0"/>
            <wp:positionH relativeFrom="column">
              <wp:posOffset>-194310</wp:posOffset>
            </wp:positionH>
            <wp:positionV relativeFrom="paragraph">
              <wp:posOffset>1733550</wp:posOffset>
            </wp:positionV>
            <wp:extent cx="6109065" cy="2105025"/>
            <wp:effectExtent l="0" t="0" r="635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646" t="12371" r="27698" b="59660"/>
                    <a:stretch/>
                  </pic:blipFill>
                  <pic:spPr bwMode="auto">
                    <a:xfrm>
                      <a:off x="0" y="0"/>
                      <a:ext cx="6109065" cy="2105025"/>
                    </a:xfrm>
                    <a:prstGeom prst="rect">
                      <a:avLst/>
                    </a:prstGeom>
                    <a:ln>
                      <a:noFill/>
                    </a:ln>
                    <a:extLst>
                      <a:ext uri="{53640926-AAD7-44D8-BBD7-CCE9431645EC}">
                        <a14:shadowObscured xmlns:a14="http://schemas.microsoft.com/office/drawing/2010/main"/>
                      </a:ext>
                    </a:extLst>
                  </pic:spPr>
                </pic:pic>
              </a:graphicData>
            </a:graphic>
          </wp:anchor>
        </w:drawing>
      </w:r>
      <w:r w:rsidRPr="00145E86">
        <w:rPr>
          <w:rFonts w:ascii="Century Gothic" w:hAnsi="Century Gothic"/>
          <w:noProof/>
          <w:szCs w:val="24"/>
          <w:lang w:eastAsia="es-MX"/>
        </w:rPr>
        <w:t>El gasto neto pagado fue de 1 billón 345 mil 414 millones de pesos, monto inferior al previsto en el programa en 86 mil 572 millones de pesos. El menor gasto respecto al calendarizado se explica por un menor gasto programable en 65 mil 458 millones de pesos y un menor gasto no programable en 21 mil 114 millones de pesos.</w:t>
      </w:r>
    </w:p>
    <w:p w14:paraId="61962B95" w14:textId="771F8E92" w:rsidR="00F263BC" w:rsidRDefault="00F263BC" w:rsidP="007A6A91">
      <w:pPr>
        <w:spacing w:line="360" w:lineRule="auto"/>
        <w:ind w:left="708" w:hanging="708"/>
        <w:rPr>
          <w:rFonts w:ascii="Century Gothic" w:hAnsi="Century Gothic"/>
          <w:noProof/>
          <w:szCs w:val="24"/>
          <w:lang w:eastAsia="es-MX"/>
        </w:rPr>
      </w:pPr>
    </w:p>
    <w:p w14:paraId="523CF212" w14:textId="5845218E" w:rsidR="00C00177" w:rsidRPr="00145E86" w:rsidRDefault="00C00177" w:rsidP="00145E86">
      <w:pPr>
        <w:spacing w:line="360" w:lineRule="auto"/>
        <w:rPr>
          <w:rFonts w:ascii="Century Gothic" w:hAnsi="Century Gothic"/>
          <w:noProof/>
          <w:szCs w:val="24"/>
          <w:lang w:eastAsia="es-MX"/>
        </w:rPr>
      </w:pPr>
      <w:r w:rsidRPr="00145E86">
        <w:rPr>
          <w:rFonts w:ascii="Century Gothic" w:hAnsi="Century Gothic"/>
          <w:noProof/>
          <w:szCs w:val="24"/>
          <w:lang w:eastAsia="es-MX"/>
        </w:rPr>
        <w:lastRenderedPageBreak/>
        <w:t xml:space="preserve">Al termino de este primer trimestre del 2019, los </w:t>
      </w:r>
      <w:r w:rsidR="007017EF" w:rsidRPr="00145E86">
        <w:rPr>
          <w:rFonts w:ascii="Century Gothic" w:hAnsi="Century Gothic"/>
          <w:noProof/>
          <w:szCs w:val="24"/>
          <w:lang w:eastAsia="es-MX"/>
        </w:rPr>
        <w:t xml:space="preserve">indicadores </w:t>
      </w:r>
      <w:r w:rsidRPr="00145E86">
        <w:rPr>
          <w:rFonts w:ascii="Century Gothic" w:hAnsi="Century Gothic"/>
          <w:noProof/>
          <w:szCs w:val="24"/>
          <w:lang w:eastAsia="es-MX"/>
        </w:rPr>
        <w:t xml:space="preserve">que desde luego se mencionan </w:t>
      </w:r>
      <w:r w:rsidR="007017EF" w:rsidRPr="00145E86">
        <w:rPr>
          <w:rFonts w:ascii="Century Gothic" w:hAnsi="Century Gothic"/>
          <w:noProof/>
          <w:szCs w:val="24"/>
          <w:lang w:eastAsia="es-MX"/>
        </w:rPr>
        <w:t xml:space="preserve">de riesgo de la deuda del Gobierno Federal </w:t>
      </w:r>
      <w:r w:rsidR="00A65519" w:rsidRPr="00145E86">
        <w:rPr>
          <w:rFonts w:ascii="Century Gothic" w:hAnsi="Century Gothic"/>
          <w:noProof/>
          <w:szCs w:val="24"/>
          <w:lang w:eastAsia="es-MX"/>
        </w:rPr>
        <w:t xml:space="preserve">se </w:t>
      </w:r>
      <w:r w:rsidR="00E24D8A">
        <w:rPr>
          <w:rFonts w:ascii="Century Gothic" w:hAnsi="Century Gothic"/>
          <w:noProof/>
          <w:szCs w:val="24"/>
          <w:lang w:eastAsia="es-MX"/>
        </w:rPr>
        <w:t>considera importante su evolució</w:t>
      </w:r>
      <w:r w:rsidR="00A65519" w:rsidRPr="00145E86">
        <w:rPr>
          <w:rFonts w:ascii="Century Gothic" w:hAnsi="Century Gothic"/>
          <w:noProof/>
          <w:szCs w:val="24"/>
          <w:lang w:eastAsia="es-MX"/>
        </w:rPr>
        <w:t>n que tuvo quedando de la siguiente manera:</w:t>
      </w:r>
      <w:r w:rsidR="007017EF" w:rsidRPr="00145E86">
        <w:rPr>
          <w:rFonts w:ascii="Century Gothic" w:hAnsi="Century Gothic"/>
          <w:noProof/>
          <w:szCs w:val="24"/>
          <w:lang w:eastAsia="es-MX"/>
        </w:rPr>
        <w:t xml:space="preserve"> </w:t>
      </w:r>
    </w:p>
    <w:p w14:paraId="071F837F" w14:textId="58A6DA8C" w:rsidR="00A65519" w:rsidRPr="00145E86" w:rsidRDefault="00A65519" w:rsidP="00145E86">
      <w:pPr>
        <w:pStyle w:val="Prrafodelista"/>
        <w:numPr>
          <w:ilvl w:val="0"/>
          <w:numId w:val="1"/>
        </w:numPr>
        <w:spacing w:line="360" w:lineRule="auto"/>
        <w:rPr>
          <w:rFonts w:ascii="Century Gothic" w:hAnsi="Century Gothic"/>
          <w:noProof/>
          <w:szCs w:val="24"/>
          <w:lang w:eastAsia="es-MX"/>
        </w:rPr>
      </w:pPr>
      <w:r w:rsidRPr="00145E86">
        <w:rPr>
          <w:rFonts w:ascii="Century Gothic" w:hAnsi="Century Gothic"/>
          <w:noProof/>
          <w:szCs w:val="24"/>
          <w:lang w:eastAsia="es-MX"/>
        </w:rPr>
        <w:t>E</w:t>
      </w:r>
      <w:r w:rsidR="007017EF" w:rsidRPr="00145E86">
        <w:rPr>
          <w:rFonts w:ascii="Century Gothic" w:hAnsi="Century Gothic"/>
          <w:noProof/>
          <w:szCs w:val="24"/>
          <w:lang w:eastAsia="es-MX"/>
        </w:rPr>
        <w:t xml:space="preserve">n lo relativo a la composición de la deuda por moneda, 77.3% de la deuda neta del Gobierno Federal se </w:t>
      </w:r>
      <w:r w:rsidRPr="00145E86">
        <w:rPr>
          <w:rFonts w:ascii="Century Gothic" w:hAnsi="Century Gothic"/>
          <w:noProof/>
          <w:szCs w:val="24"/>
          <w:lang w:eastAsia="es-MX"/>
        </w:rPr>
        <w:t xml:space="preserve">encuentra denominada en pesos </w:t>
      </w:r>
      <w:r w:rsidR="007017EF" w:rsidRPr="00145E86">
        <w:rPr>
          <w:rFonts w:ascii="Century Gothic" w:hAnsi="Century Gothic"/>
          <w:noProof/>
          <w:szCs w:val="24"/>
          <w:lang w:eastAsia="es-MX"/>
        </w:rPr>
        <w:t xml:space="preserve">22.7% en moneda extranjera. </w:t>
      </w:r>
    </w:p>
    <w:p w14:paraId="5F044247" w14:textId="3DDAB75B" w:rsidR="00A65519" w:rsidRPr="00145E86" w:rsidRDefault="007017EF" w:rsidP="00145E86">
      <w:pPr>
        <w:pStyle w:val="Prrafodelista"/>
        <w:numPr>
          <w:ilvl w:val="0"/>
          <w:numId w:val="1"/>
        </w:numPr>
        <w:spacing w:line="360" w:lineRule="auto"/>
        <w:rPr>
          <w:rFonts w:ascii="Century Gothic" w:hAnsi="Century Gothic"/>
          <w:noProof/>
          <w:szCs w:val="24"/>
          <w:lang w:eastAsia="es-MX"/>
        </w:rPr>
      </w:pPr>
      <w:r w:rsidRPr="00145E86">
        <w:rPr>
          <w:rFonts w:ascii="Century Gothic" w:hAnsi="Century Gothic"/>
          <w:noProof/>
          <w:szCs w:val="24"/>
          <w:lang w:eastAsia="es-MX"/>
        </w:rPr>
        <w:t>Respec</w:t>
      </w:r>
      <w:r w:rsidR="00A65519" w:rsidRPr="00145E86">
        <w:rPr>
          <w:rFonts w:ascii="Century Gothic" w:hAnsi="Century Gothic"/>
          <w:noProof/>
          <w:szCs w:val="24"/>
          <w:lang w:eastAsia="es-MX"/>
        </w:rPr>
        <w:t xml:space="preserve">to a la deuda interna, </w:t>
      </w:r>
      <w:r w:rsidRPr="00145E86">
        <w:rPr>
          <w:rFonts w:ascii="Century Gothic" w:hAnsi="Century Gothic"/>
          <w:noProof/>
          <w:szCs w:val="24"/>
          <w:lang w:eastAsia="es-MX"/>
        </w:rPr>
        <w:t xml:space="preserve">el plazo promedio de vencimiento de valores gubernamentales fue de 7.92 años, y de estos, 83.2% se encuentra a tasa fija nominal y real a largo plazo. </w:t>
      </w:r>
    </w:p>
    <w:p w14:paraId="416F7EE6" w14:textId="39B3818B" w:rsidR="004B6016" w:rsidRDefault="007017EF" w:rsidP="00145E86">
      <w:pPr>
        <w:pStyle w:val="Prrafodelista"/>
        <w:numPr>
          <w:ilvl w:val="0"/>
          <w:numId w:val="1"/>
        </w:numPr>
        <w:spacing w:line="360" w:lineRule="auto"/>
        <w:rPr>
          <w:rFonts w:ascii="Century Gothic" w:hAnsi="Century Gothic"/>
          <w:noProof/>
          <w:szCs w:val="24"/>
          <w:lang w:eastAsia="es-MX"/>
        </w:rPr>
      </w:pPr>
      <w:r w:rsidRPr="00145E86">
        <w:rPr>
          <w:rFonts w:ascii="Century Gothic" w:hAnsi="Century Gothic"/>
          <w:noProof/>
          <w:szCs w:val="24"/>
          <w:lang w:eastAsia="es-MX"/>
        </w:rPr>
        <w:t>Para la deuda externa, el plazo promedio de la deuda de mercado es de 18.92 años y 100% de esta se encuentra a tasa fija. Así, la estructura de la deuda es robusta para hacer frente a choques provenientes de los mercados financieros internacionales.</w:t>
      </w:r>
    </w:p>
    <w:p w14:paraId="367D72D6" w14:textId="03DD621B" w:rsidR="00CC3B6C" w:rsidRPr="00CC3B6C" w:rsidRDefault="00CC3B6C" w:rsidP="00CC3B6C">
      <w:pPr>
        <w:spacing w:line="360" w:lineRule="auto"/>
        <w:jc w:val="center"/>
        <w:rPr>
          <w:rFonts w:ascii="Century Gothic" w:hAnsi="Century Gothic"/>
          <w:noProof/>
          <w:szCs w:val="24"/>
          <w:lang w:eastAsia="es-MX"/>
        </w:rPr>
      </w:pPr>
      <w:r>
        <w:rPr>
          <w:noProof/>
          <w:lang w:eastAsia="es-MX"/>
        </w:rPr>
        <w:drawing>
          <wp:anchor distT="0" distB="0" distL="114300" distR="114300" simplePos="0" relativeHeight="251662336" behindDoc="0" locked="0" layoutInCell="1" allowOverlap="1" wp14:anchorId="36E0AB38" wp14:editId="24B7748C">
            <wp:simplePos x="0" y="0"/>
            <wp:positionH relativeFrom="column">
              <wp:posOffset>1167765</wp:posOffset>
            </wp:positionH>
            <wp:positionV relativeFrom="paragraph">
              <wp:posOffset>5715</wp:posOffset>
            </wp:positionV>
            <wp:extent cx="3266631" cy="2281958"/>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360" t="68309" r="27775" b="4535"/>
                    <a:stretch/>
                  </pic:blipFill>
                  <pic:spPr bwMode="auto">
                    <a:xfrm>
                      <a:off x="0" y="0"/>
                      <a:ext cx="3266631" cy="2281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CACAA" w14:textId="77777777" w:rsidR="00CC3B6C" w:rsidRDefault="00CC3B6C" w:rsidP="00145E86">
      <w:pPr>
        <w:spacing w:line="360" w:lineRule="auto"/>
        <w:rPr>
          <w:rFonts w:ascii="Century Gothic" w:hAnsi="Century Gothic"/>
          <w:noProof/>
          <w:szCs w:val="24"/>
          <w:lang w:eastAsia="es-MX"/>
        </w:rPr>
      </w:pPr>
    </w:p>
    <w:p w14:paraId="021BAAA5" w14:textId="77777777" w:rsidR="00CC3B6C" w:rsidRDefault="00CC3B6C" w:rsidP="00145E86">
      <w:pPr>
        <w:spacing w:line="360" w:lineRule="auto"/>
        <w:rPr>
          <w:rFonts w:ascii="Century Gothic" w:hAnsi="Century Gothic"/>
          <w:noProof/>
          <w:szCs w:val="24"/>
          <w:lang w:eastAsia="es-MX"/>
        </w:rPr>
      </w:pPr>
    </w:p>
    <w:p w14:paraId="6F1B502E" w14:textId="77777777" w:rsidR="00CC3B6C" w:rsidRDefault="00CC3B6C" w:rsidP="00145E86">
      <w:pPr>
        <w:spacing w:line="360" w:lineRule="auto"/>
        <w:rPr>
          <w:rFonts w:ascii="Century Gothic" w:hAnsi="Century Gothic"/>
          <w:noProof/>
          <w:szCs w:val="24"/>
          <w:lang w:eastAsia="es-MX"/>
        </w:rPr>
      </w:pPr>
    </w:p>
    <w:p w14:paraId="774B7A39" w14:textId="77777777" w:rsidR="00CC3B6C" w:rsidRDefault="00CC3B6C" w:rsidP="00145E86">
      <w:pPr>
        <w:spacing w:line="360" w:lineRule="auto"/>
        <w:rPr>
          <w:rFonts w:ascii="Century Gothic" w:hAnsi="Century Gothic"/>
          <w:noProof/>
          <w:szCs w:val="24"/>
          <w:lang w:eastAsia="es-MX"/>
        </w:rPr>
      </w:pPr>
    </w:p>
    <w:p w14:paraId="33DC4EDC" w14:textId="77777777" w:rsidR="00F263BC" w:rsidRDefault="00F263BC" w:rsidP="00145E86">
      <w:pPr>
        <w:spacing w:line="360" w:lineRule="auto"/>
        <w:rPr>
          <w:rFonts w:ascii="Century Gothic" w:hAnsi="Century Gothic"/>
          <w:noProof/>
          <w:szCs w:val="24"/>
          <w:lang w:eastAsia="es-MX"/>
        </w:rPr>
      </w:pPr>
    </w:p>
    <w:p w14:paraId="56086529" w14:textId="77777777" w:rsidR="00F263BC" w:rsidRDefault="00F263BC" w:rsidP="00145E86">
      <w:pPr>
        <w:spacing w:line="360" w:lineRule="auto"/>
        <w:rPr>
          <w:rFonts w:ascii="Century Gothic" w:hAnsi="Century Gothic"/>
          <w:noProof/>
          <w:szCs w:val="24"/>
          <w:lang w:eastAsia="es-MX"/>
        </w:rPr>
      </w:pPr>
    </w:p>
    <w:p w14:paraId="6D6426FA" w14:textId="1BF22D56" w:rsidR="00A65519" w:rsidRPr="00145E86" w:rsidRDefault="00E24D8A" w:rsidP="00145E86">
      <w:pPr>
        <w:spacing w:line="360" w:lineRule="auto"/>
        <w:rPr>
          <w:rFonts w:ascii="Century Gothic" w:hAnsi="Century Gothic"/>
          <w:noProof/>
          <w:szCs w:val="24"/>
          <w:lang w:eastAsia="es-MX"/>
        </w:rPr>
      </w:pPr>
      <w:r>
        <w:rPr>
          <w:rFonts w:ascii="Century Gothic" w:hAnsi="Century Gothic"/>
          <w:noProof/>
          <w:szCs w:val="24"/>
          <w:lang w:eastAsia="es-MX"/>
        </w:rPr>
        <w:t>Para el perí</w:t>
      </w:r>
      <w:r w:rsidR="00A65519" w:rsidRPr="00145E86">
        <w:rPr>
          <w:rFonts w:ascii="Century Gothic" w:hAnsi="Century Gothic"/>
          <w:noProof/>
          <w:szCs w:val="24"/>
          <w:lang w:eastAsia="es-MX"/>
        </w:rPr>
        <w:t xml:space="preserve">odo de </w:t>
      </w:r>
      <w:r w:rsidR="007017EF" w:rsidRPr="00145E86">
        <w:rPr>
          <w:rFonts w:ascii="Century Gothic" w:hAnsi="Century Gothic"/>
          <w:noProof/>
          <w:szCs w:val="24"/>
          <w:lang w:eastAsia="es-MX"/>
        </w:rPr>
        <w:t xml:space="preserve"> enero-marzo de 2019, los recursos federales transferidos a los gobiernos de las entidades federativas y municipios, en términos de lo establecido en la Ley de Coordinación Fiscal y en el presupuesto aprobado, ascendieron a 470 mil 782 millones de pesos, </w:t>
      </w:r>
      <w:r w:rsidR="00A65519" w:rsidRPr="00145E86">
        <w:rPr>
          <w:rFonts w:ascii="Century Gothic" w:hAnsi="Century Gothic"/>
          <w:noProof/>
          <w:szCs w:val="24"/>
          <w:lang w:eastAsia="es-MX"/>
        </w:rPr>
        <w:t>lo que se mostro de una menera bastante significativa decr</w:t>
      </w:r>
      <w:r>
        <w:rPr>
          <w:rFonts w:ascii="Century Gothic" w:hAnsi="Century Gothic"/>
          <w:noProof/>
          <w:szCs w:val="24"/>
          <w:lang w:eastAsia="es-MX"/>
        </w:rPr>
        <w:t>eciente real de 3.9% con relació</w:t>
      </w:r>
      <w:r w:rsidR="00A65519" w:rsidRPr="00145E86">
        <w:rPr>
          <w:rFonts w:ascii="Century Gothic" w:hAnsi="Century Gothic"/>
          <w:noProof/>
          <w:szCs w:val="24"/>
          <w:lang w:eastAsia="es-MX"/>
        </w:rPr>
        <w:t>n</w:t>
      </w:r>
      <w:r>
        <w:rPr>
          <w:rFonts w:ascii="Century Gothic" w:hAnsi="Century Gothic"/>
          <w:noProof/>
          <w:szCs w:val="24"/>
          <w:lang w:eastAsia="es-MX"/>
        </w:rPr>
        <w:t xml:space="preserve"> </w:t>
      </w:r>
      <w:r w:rsidR="00A65519" w:rsidRPr="00145E86">
        <w:rPr>
          <w:rFonts w:ascii="Century Gothic" w:hAnsi="Century Gothic"/>
          <w:noProof/>
          <w:szCs w:val="24"/>
          <w:lang w:eastAsia="es-MX"/>
        </w:rPr>
        <w:t xml:space="preserve">a  </w:t>
      </w:r>
      <w:r>
        <w:rPr>
          <w:rFonts w:ascii="Century Gothic" w:hAnsi="Century Gothic"/>
          <w:noProof/>
          <w:szCs w:val="24"/>
          <w:lang w:eastAsia="es-MX"/>
        </w:rPr>
        <w:t xml:space="preserve">lo  que se </w:t>
      </w:r>
      <w:r>
        <w:rPr>
          <w:rFonts w:ascii="Century Gothic" w:hAnsi="Century Gothic"/>
          <w:noProof/>
          <w:szCs w:val="24"/>
          <w:lang w:eastAsia="es-MX"/>
        </w:rPr>
        <w:lastRenderedPageBreak/>
        <w:t>pago en el mismo peí</w:t>
      </w:r>
      <w:r w:rsidR="00A65519" w:rsidRPr="00145E86">
        <w:rPr>
          <w:rFonts w:ascii="Century Gothic" w:hAnsi="Century Gothic"/>
          <w:noProof/>
          <w:szCs w:val="24"/>
          <w:lang w:eastAsia="es-MX"/>
        </w:rPr>
        <w:t>odo de 2018, y que representó el 49.7% del gasto primario del go</w:t>
      </w:r>
      <w:r>
        <w:rPr>
          <w:rFonts w:ascii="Century Gothic" w:hAnsi="Century Gothic"/>
          <w:noProof/>
          <w:szCs w:val="24"/>
          <w:lang w:eastAsia="es-MX"/>
        </w:rPr>
        <w:t>birno federal, de ese mismo perí</w:t>
      </w:r>
      <w:r w:rsidR="00A65519" w:rsidRPr="00145E86">
        <w:rPr>
          <w:rFonts w:ascii="Century Gothic" w:hAnsi="Century Gothic"/>
          <w:noProof/>
          <w:szCs w:val="24"/>
          <w:lang w:eastAsia="es-MX"/>
        </w:rPr>
        <w:t>odo.</w:t>
      </w:r>
    </w:p>
    <w:p w14:paraId="36383477" w14:textId="77777777" w:rsidR="004B6016" w:rsidRPr="00145E86" w:rsidRDefault="00A65519" w:rsidP="00145E86">
      <w:pPr>
        <w:spacing w:line="360" w:lineRule="auto"/>
        <w:rPr>
          <w:rFonts w:ascii="Century Gothic" w:hAnsi="Century Gothic"/>
          <w:noProof/>
          <w:szCs w:val="24"/>
          <w:lang w:eastAsia="es-MX"/>
        </w:rPr>
      </w:pPr>
      <w:r w:rsidRPr="00145E86">
        <w:rPr>
          <w:rFonts w:ascii="Century Gothic" w:hAnsi="Century Gothic"/>
          <w:noProof/>
          <w:szCs w:val="24"/>
          <w:lang w:eastAsia="es-MX"/>
        </w:rPr>
        <w:t>Se considera importante mostrar estos porcentajes ya que, de los recursos canalizados a los gobierno</w:t>
      </w:r>
      <w:r w:rsidR="003932ED" w:rsidRPr="00145E86">
        <w:rPr>
          <w:rFonts w:ascii="Century Gothic" w:hAnsi="Century Gothic"/>
          <w:noProof/>
          <w:szCs w:val="24"/>
          <w:lang w:eastAsia="es-MX"/>
        </w:rPr>
        <w:t xml:space="preserve">s locales, 50.7% </w:t>
      </w:r>
      <w:r w:rsidRPr="00145E86">
        <w:rPr>
          <w:rFonts w:ascii="Century Gothic" w:hAnsi="Century Gothic"/>
          <w:noProof/>
          <w:szCs w:val="24"/>
          <w:lang w:eastAsia="es-MX"/>
        </w:rPr>
        <w:t>correspo</w:t>
      </w:r>
      <w:r w:rsidR="003932ED" w:rsidRPr="00145E86">
        <w:rPr>
          <w:rFonts w:ascii="Century Gothic" w:hAnsi="Century Gothic"/>
          <w:noProof/>
          <w:szCs w:val="24"/>
          <w:lang w:eastAsia="es-MX"/>
        </w:rPr>
        <w:t xml:space="preserve">ndió a gasto programable y 49.3% </w:t>
      </w:r>
      <w:r w:rsidRPr="00145E86">
        <w:rPr>
          <w:rFonts w:ascii="Century Gothic" w:hAnsi="Century Gothic"/>
          <w:noProof/>
          <w:szCs w:val="24"/>
          <w:lang w:eastAsia="es-MX"/>
        </w:rPr>
        <w:t>restante se asoció al pago de participaciones federales.</w:t>
      </w:r>
    </w:p>
    <w:p w14:paraId="25418596" w14:textId="77777777" w:rsidR="004B6016" w:rsidRPr="00145E86" w:rsidRDefault="00A65519" w:rsidP="00145E86">
      <w:pPr>
        <w:pStyle w:val="Prrafodelista"/>
        <w:numPr>
          <w:ilvl w:val="0"/>
          <w:numId w:val="2"/>
        </w:numPr>
        <w:spacing w:line="360" w:lineRule="auto"/>
        <w:rPr>
          <w:rFonts w:ascii="Century Gothic" w:hAnsi="Century Gothic"/>
          <w:szCs w:val="24"/>
        </w:rPr>
      </w:pPr>
      <w:r w:rsidRPr="00145E86">
        <w:rPr>
          <w:rFonts w:ascii="Century Gothic" w:hAnsi="Century Gothic"/>
          <w:szCs w:val="24"/>
        </w:rPr>
        <w:t>El monto de las Participaciones ascendió a 232 mil 290.5 millones de pesos, lo que representa 49.</w:t>
      </w:r>
      <w:r w:rsidR="00BA76CA" w:rsidRPr="00145E86">
        <w:rPr>
          <w:rFonts w:ascii="Century Gothic" w:hAnsi="Century Gothic"/>
          <w:szCs w:val="24"/>
        </w:rPr>
        <w:t>3%</w:t>
      </w:r>
      <w:r w:rsidRPr="00145E86">
        <w:rPr>
          <w:rFonts w:ascii="Century Gothic" w:hAnsi="Century Gothic"/>
          <w:szCs w:val="24"/>
        </w:rPr>
        <w:t xml:space="preserve"> del total de recursos federalizados.</w:t>
      </w:r>
    </w:p>
    <w:p w14:paraId="5DAE827D" w14:textId="1B18EC96" w:rsidR="00A65519" w:rsidRPr="00145E86" w:rsidRDefault="00A65519" w:rsidP="00145E86">
      <w:pPr>
        <w:pStyle w:val="Prrafodelista"/>
        <w:numPr>
          <w:ilvl w:val="0"/>
          <w:numId w:val="2"/>
        </w:numPr>
        <w:spacing w:line="360" w:lineRule="auto"/>
        <w:rPr>
          <w:rFonts w:ascii="Century Gothic" w:hAnsi="Century Gothic"/>
          <w:szCs w:val="24"/>
        </w:rPr>
      </w:pPr>
      <w:r w:rsidRPr="00145E86">
        <w:rPr>
          <w:rFonts w:ascii="Century Gothic" w:hAnsi="Century Gothic"/>
          <w:szCs w:val="24"/>
        </w:rPr>
        <w:t xml:space="preserve">Los ramos 25 y 33 representaron 185 mil 574.6 millones de pesos, mostrando </w:t>
      </w:r>
      <w:r w:rsidR="00BA76CA" w:rsidRPr="00145E86">
        <w:rPr>
          <w:rFonts w:ascii="Century Gothic" w:hAnsi="Century Gothic"/>
          <w:szCs w:val="24"/>
        </w:rPr>
        <w:t>un crecimiento de 1.8%</w:t>
      </w:r>
      <w:r w:rsidR="00E24D8A">
        <w:rPr>
          <w:rFonts w:ascii="Century Gothic" w:hAnsi="Century Gothic"/>
          <w:szCs w:val="24"/>
        </w:rPr>
        <w:t xml:space="preserve"> real, respecto al mismo perí</w:t>
      </w:r>
      <w:r w:rsidRPr="00145E86">
        <w:rPr>
          <w:rFonts w:ascii="Century Gothic" w:hAnsi="Century Gothic"/>
          <w:szCs w:val="24"/>
        </w:rPr>
        <w:t>odo de 2018.</w:t>
      </w:r>
    </w:p>
    <w:p w14:paraId="0AD0DBB1" w14:textId="77777777" w:rsidR="00A65519" w:rsidRPr="00145E86" w:rsidRDefault="00A65519" w:rsidP="00145E86">
      <w:pPr>
        <w:pStyle w:val="Prrafodelista"/>
        <w:numPr>
          <w:ilvl w:val="0"/>
          <w:numId w:val="2"/>
        </w:numPr>
        <w:spacing w:line="360" w:lineRule="auto"/>
        <w:rPr>
          <w:rFonts w:ascii="Century Gothic" w:hAnsi="Century Gothic"/>
          <w:szCs w:val="24"/>
        </w:rPr>
      </w:pPr>
      <w:r w:rsidRPr="00145E86">
        <w:rPr>
          <w:rFonts w:ascii="Century Gothic" w:hAnsi="Century Gothic"/>
          <w:szCs w:val="24"/>
        </w:rPr>
        <w:t xml:space="preserve">Los recursos para servicios de salud se ubicaron en 21 mil 368.3 millones </w:t>
      </w:r>
      <w:r w:rsidR="00BA76CA" w:rsidRPr="00145E86">
        <w:rPr>
          <w:rFonts w:ascii="Century Gothic" w:hAnsi="Century Gothic"/>
          <w:szCs w:val="24"/>
        </w:rPr>
        <w:t xml:space="preserve">de pesos, lo que representa 4.5% </w:t>
      </w:r>
      <w:r w:rsidRPr="00145E86">
        <w:rPr>
          <w:rFonts w:ascii="Century Gothic" w:hAnsi="Century Gothic"/>
          <w:szCs w:val="24"/>
        </w:rPr>
        <w:t>de los recursos federalizados.</w:t>
      </w:r>
    </w:p>
    <w:p w14:paraId="0988C675" w14:textId="77777777" w:rsidR="00A65519" w:rsidRPr="00145E86" w:rsidRDefault="00A65519" w:rsidP="00145E86">
      <w:pPr>
        <w:pStyle w:val="Prrafodelista"/>
        <w:numPr>
          <w:ilvl w:val="0"/>
          <w:numId w:val="2"/>
        </w:numPr>
        <w:spacing w:line="360" w:lineRule="auto"/>
        <w:rPr>
          <w:rFonts w:ascii="Century Gothic" w:hAnsi="Century Gothic"/>
          <w:szCs w:val="24"/>
        </w:rPr>
      </w:pPr>
      <w:r w:rsidRPr="00145E86">
        <w:rPr>
          <w:rFonts w:ascii="Century Gothic" w:hAnsi="Century Gothic"/>
          <w:szCs w:val="24"/>
        </w:rPr>
        <w:t xml:space="preserve">Los recursos otorgados por las dependencias y entidades a los estados, mediante convenios de descentralización y de asignación, ascienden a 21 mil 289.3 millones de pesos, monto inferior en 39.6 por ciento en términos reales a lo ejercido en 2018. </w:t>
      </w:r>
    </w:p>
    <w:p w14:paraId="5F322FF9" w14:textId="77777777" w:rsidR="00A65519" w:rsidRPr="00145E86" w:rsidRDefault="00A65519" w:rsidP="00145E86">
      <w:pPr>
        <w:pStyle w:val="Prrafodelista"/>
        <w:numPr>
          <w:ilvl w:val="0"/>
          <w:numId w:val="2"/>
        </w:numPr>
        <w:spacing w:line="360" w:lineRule="auto"/>
        <w:rPr>
          <w:rFonts w:ascii="Century Gothic" w:hAnsi="Century Gothic"/>
          <w:szCs w:val="24"/>
        </w:rPr>
      </w:pPr>
      <w:r w:rsidRPr="00145E86">
        <w:rPr>
          <w:rFonts w:ascii="Century Gothic" w:hAnsi="Century Gothic"/>
          <w:szCs w:val="24"/>
        </w:rPr>
        <w:t>Los subsidios entregados a las entidades federativas a través del Ramo 23 Provisiones Salariales y Económicas y otros ramos de la Administración Pública Centralizada, sumaron 10 mil 259.3 millones de pesos.</w:t>
      </w:r>
    </w:p>
    <w:p w14:paraId="23674983" w14:textId="77777777" w:rsidR="00145E86" w:rsidRDefault="00145E86" w:rsidP="00145E86"/>
    <w:p w14:paraId="48017486" w14:textId="77777777" w:rsidR="00CC3B6C" w:rsidRDefault="00CC3B6C" w:rsidP="00145E86"/>
    <w:p w14:paraId="5CD771DF" w14:textId="77777777" w:rsidR="00F263BC" w:rsidRDefault="00F263BC" w:rsidP="00145E86">
      <w:pPr>
        <w:jc w:val="center"/>
        <w:rPr>
          <w:rFonts w:ascii="Century Gothic" w:hAnsi="Century Gothic"/>
          <w:b/>
          <w:szCs w:val="24"/>
        </w:rPr>
      </w:pPr>
    </w:p>
    <w:p w14:paraId="1FEA58DB" w14:textId="77777777" w:rsidR="00F263BC" w:rsidRDefault="00F263BC" w:rsidP="00145E86">
      <w:pPr>
        <w:jc w:val="center"/>
        <w:rPr>
          <w:rFonts w:ascii="Century Gothic" w:hAnsi="Century Gothic"/>
          <w:b/>
          <w:szCs w:val="24"/>
        </w:rPr>
      </w:pPr>
    </w:p>
    <w:p w14:paraId="77E1E1B4" w14:textId="39990A24" w:rsidR="00F263BC" w:rsidRDefault="00F263BC" w:rsidP="00145E86">
      <w:pPr>
        <w:jc w:val="center"/>
        <w:rPr>
          <w:rFonts w:ascii="Century Gothic" w:hAnsi="Century Gothic"/>
          <w:b/>
          <w:szCs w:val="24"/>
        </w:rPr>
      </w:pPr>
    </w:p>
    <w:p w14:paraId="3F26C951" w14:textId="4E05F1C8" w:rsidR="001E40DC" w:rsidRDefault="001E40DC" w:rsidP="00145E86">
      <w:pPr>
        <w:jc w:val="center"/>
        <w:rPr>
          <w:rFonts w:ascii="Century Gothic" w:hAnsi="Century Gothic"/>
          <w:b/>
          <w:szCs w:val="24"/>
        </w:rPr>
      </w:pPr>
    </w:p>
    <w:p w14:paraId="551958D3" w14:textId="77777777" w:rsidR="001E40DC" w:rsidRDefault="001E40DC" w:rsidP="00145E86">
      <w:pPr>
        <w:jc w:val="center"/>
        <w:rPr>
          <w:rFonts w:ascii="Century Gothic" w:hAnsi="Century Gothic"/>
          <w:b/>
          <w:szCs w:val="24"/>
        </w:rPr>
      </w:pPr>
    </w:p>
    <w:p w14:paraId="41EF33BC" w14:textId="48718852" w:rsidR="00145E86" w:rsidRDefault="00E24D8A" w:rsidP="00145E86">
      <w:pPr>
        <w:jc w:val="center"/>
        <w:rPr>
          <w:rFonts w:ascii="Century Gothic" w:hAnsi="Century Gothic"/>
          <w:b/>
          <w:szCs w:val="24"/>
        </w:rPr>
      </w:pPr>
      <w:r>
        <w:rPr>
          <w:rFonts w:ascii="Century Gothic" w:hAnsi="Century Gothic"/>
          <w:b/>
          <w:szCs w:val="24"/>
        </w:rPr>
        <w:lastRenderedPageBreak/>
        <w:t>CONCLUSIONES</w:t>
      </w:r>
    </w:p>
    <w:p w14:paraId="46877A52" w14:textId="77777777" w:rsidR="001E40DC" w:rsidRDefault="001E40DC" w:rsidP="00145E86">
      <w:pPr>
        <w:jc w:val="center"/>
        <w:rPr>
          <w:rFonts w:ascii="Century Gothic" w:hAnsi="Century Gothic"/>
          <w:b/>
          <w:szCs w:val="24"/>
        </w:rPr>
      </w:pPr>
    </w:p>
    <w:p w14:paraId="011CD3C9" w14:textId="77777777" w:rsidR="00413B46" w:rsidRPr="00986308" w:rsidRDefault="00413B46" w:rsidP="00413B46">
      <w:pPr>
        <w:spacing w:line="360" w:lineRule="auto"/>
        <w:rPr>
          <w:rFonts w:ascii="Century Gothic" w:hAnsi="Century Gothic"/>
        </w:rPr>
      </w:pPr>
      <w:r w:rsidRPr="00986308">
        <w:rPr>
          <w:rFonts w:ascii="Century Gothic" w:hAnsi="Century Gothic"/>
        </w:rPr>
        <w:t>En el primer trimestre de 2019, se observó un comportamiento más estable de los mercados financieros internacionales respecto a la elevada volatilidad que mostraron en los últimos meses de 2018. A ello contribuyó la perspectiva de una postura más acomodaticia de los principales Bancos Centrales y un mayor optimismo respecto a las conversaciones entre China y Estados Unidos en torno a la resolución de las disputas comerciales. En este contexto, con respecto al trimestre anterior, se observó una reducción en las primas de riesgo de los instrumentos gubernamentales, se redujo la volatilidad cambiaria respecto al dólar, y los mercados accionarios registraron una recuperación.</w:t>
      </w:r>
    </w:p>
    <w:p w14:paraId="49F5694F" w14:textId="77777777" w:rsidR="00413B46" w:rsidRPr="00986308" w:rsidRDefault="00413B46" w:rsidP="00413B46">
      <w:pPr>
        <w:spacing w:line="360" w:lineRule="auto"/>
        <w:rPr>
          <w:rFonts w:ascii="Century Gothic" w:hAnsi="Century Gothic"/>
        </w:rPr>
      </w:pPr>
      <w:r w:rsidRPr="00986308">
        <w:rPr>
          <w:rFonts w:ascii="Century Gothic" w:hAnsi="Century Gothic"/>
        </w:rPr>
        <w:t>La actividad económica de México durante 2018 registró un crecimiento anual de 2.0%, como resultado de la expansión de los sectores primario y terciario, principalmente.</w:t>
      </w:r>
    </w:p>
    <w:p w14:paraId="66D5EABE" w14:textId="77777777" w:rsidR="00413B46" w:rsidRPr="00986308" w:rsidRDefault="00413B46" w:rsidP="00413B46">
      <w:pPr>
        <w:spacing w:line="360" w:lineRule="auto"/>
        <w:rPr>
          <w:rFonts w:ascii="Century Gothic" w:hAnsi="Century Gothic"/>
        </w:rPr>
      </w:pPr>
      <w:r w:rsidRPr="00986308">
        <w:rPr>
          <w:rFonts w:ascii="Century Gothic" w:hAnsi="Century Gothic"/>
        </w:rPr>
        <w:t>En el primer bimestre de 2019, la actividad económica en el país, medida a través del IGAE, continuó mostrando un crecimiento positivo, aunque con una desaceleración, situándose en un incremento real anual de 1.2% respecto al primer bimestre de 2018.</w:t>
      </w:r>
    </w:p>
    <w:p w14:paraId="379B67AC" w14:textId="77777777" w:rsidR="00413B46" w:rsidRPr="00986308" w:rsidRDefault="00413B46" w:rsidP="00413B46">
      <w:pPr>
        <w:spacing w:line="360" w:lineRule="auto"/>
        <w:rPr>
          <w:rFonts w:ascii="Century Gothic" w:hAnsi="Century Gothic"/>
        </w:rPr>
      </w:pPr>
      <w:r w:rsidRPr="00986308">
        <w:rPr>
          <w:rFonts w:ascii="Century Gothic" w:hAnsi="Century Gothic"/>
        </w:rPr>
        <w:t>Durante enero-marzo de 2019, la inflación general anual registró una trayectoria decreciente, a lo cual contribuyó la disminución de los precios de las referencias internacionales de los productos energéticos. De este modo, la inflación general anual pasó de 4.83% en diciembre de 2018 a 4.00% en marzo de 2019. Al 29 de marzo, la moneda nacional se ubicó en 19.42 pesos por dólar, lo cual implica una apreciación de 1.13% con respecto al cierre de 2018.</w:t>
      </w:r>
    </w:p>
    <w:p w14:paraId="5FE4F37F" w14:textId="0935E455" w:rsidR="00413B46" w:rsidRPr="00986308" w:rsidRDefault="00413B46" w:rsidP="00413B46">
      <w:pPr>
        <w:spacing w:line="360" w:lineRule="auto"/>
        <w:rPr>
          <w:rFonts w:ascii="Century Gothic" w:hAnsi="Century Gothic"/>
        </w:rPr>
      </w:pPr>
      <w:r w:rsidRPr="00986308">
        <w:rPr>
          <w:rFonts w:ascii="Century Gothic" w:hAnsi="Century Gothic"/>
        </w:rPr>
        <w:t xml:space="preserve">Entre enero y marzo de 2019 se registró un superávit primario del sector público, definido como la diferencia entre los ingresos totales y los gastos </w:t>
      </w:r>
      <w:r w:rsidRPr="00986308">
        <w:rPr>
          <w:rFonts w:ascii="Century Gothic" w:hAnsi="Century Gothic"/>
        </w:rPr>
        <w:lastRenderedPageBreak/>
        <w:t>distintos del costo financiero, de 98 mil 1 millones de pesos, mayor al monto previsto originalmente de 81 mil 636 millones de pesos y al registrado el año anterior de 38 mil 205 mil</w:t>
      </w:r>
      <w:r w:rsidR="00E24D8A">
        <w:rPr>
          <w:rFonts w:ascii="Century Gothic" w:hAnsi="Century Gothic"/>
        </w:rPr>
        <w:t>lones de pesos. En el mismo perí</w:t>
      </w:r>
      <w:r w:rsidRPr="00986308">
        <w:rPr>
          <w:rFonts w:ascii="Century Gothic" w:hAnsi="Century Gothic"/>
        </w:rPr>
        <w:t>odo, el balance del sector público presentó un déficit de 24 mil 483 millones de pesos, el cual es menor al déficit previsto en el programa de 67 mil 703 millones de pesos y al déficit de 91 mil 937 millones de pesos observado en el mismo lapso de 2018.</w:t>
      </w:r>
    </w:p>
    <w:p w14:paraId="6D5E29F3" w14:textId="77777777" w:rsidR="00413B46" w:rsidRPr="00986308" w:rsidRDefault="00413B46" w:rsidP="00413B46">
      <w:pPr>
        <w:spacing w:line="360" w:lineRule="auto"/>
        <w:rPr>
          <w:rFonts w:ascii="Century Gothic" w:hAnsi="Century Gothic"/>
        </w:rPr>
      </w:pPr>
      <w:r w:rsidRPr="00986308">
        <w:rPr>
          <w:rFonts w:ascii="Century Gothic" w:hAnsi="Century Gothic"/>
        </w:rPr>
        <w:t>Los Requerimientos Financieros del Sector Público (RFSP), la medida más amplia y robusta de balance del Sector Público Federal, registraron un déficit de 17 mil 816 millones de pesos, menor al monto observado en 2018 de 56 mil 963 millones de pesos. Este resultado está en línea con la meta anual de un déficit de 2.5% del PIB.</w:t>
      </w:r>
    </w:p>
    <w:p w14:paraId="507C2ECF" w14:textId="4F2E8EDC" w:rsidR="00413B46" w:rsidRDefault="00413B46" w:rsidP="00413B46">
      <w:pPr>
        <w:spacing w:line="360" w:lineRule="auto"/>
        <w:rPr>
          <w:rFonts w:ascii="Century Gothic" w:hAnsi="Century Gothic"/>
        </w:rPr>
      </w:pPr>
      <w:r w:rsidRPr="00986308">
        <w:rPr>
          <w:rFonts w:ascii="Century Gothic" w:hAnsi="Century Gothic"/>
        </w:rPr>
        <w:t xml:space="preserve">Los ingresos tributarios sumaron 857 mil 996 millones de pesos, crecieron 5.1% en términos reales y se ubicaron 3 mil 471 millones de pesos debajo del programado. La diferencia con respecto al programa se explica principalmente por una menor recaudación </w:t>
      </w:r>
      <w:r w:rsidR="00E24D8A">
        <w:rPr>
          <w:rFonts w:ascii="Century Gothic" w:hAnsi="Century Gothic"/>
        </w:rPr>
        <w:t>neta de IVA observada en el perí</w:t>
      </w:r>
      <w:r w:rsidRPr="00986308">
        <w:rPr>
          <w:rFonts w:ascii="Century Gothic" w:hAnsi="Century Gothic"/>
        </w:rPr>
        <w:t>odo, derivado de un incremento en el pago de devoluciones durante el primer trimestre del año, las cuales aumentaron 26.8% en términos reales con respecto a las pagadas en el primer trimestre de 2018, ya que la recaudación bruta de IVA registró un crecimiento real de 1.7% en dicho periodo. Destaca el crecimiento real del ISR de 1.9% con respecto al mismo lapso de 2018.</w:t>
      </w:r>
    </w:p>
    <w:p w14:paraId="471CABD1" w14:textId="77777777" w:rsidR="00413B46" w:rsidRDefault="00413B46" w:rsidP="00413B46">
      <w:pPr>
        <w:spacing w:line="360" w:lineRule="auto"/>
        <w:rPr>
          <w:rFonts w:ascii="Century Gothic" w:hAnsi="Century Gothic"/>
        </w:rPr>
      </w:pPr>
      <w:r w:rsidRPr="00431EBB">
        <w:rPr>
          <w:rFonts w:ascii="Century Gothic" w:hAnsi="Century Gothic"/>
        </w:rPr>
        <w:t xml:space="preserve">El ritmo de crecimiento de la economía global en el primer trimestre de 2019 mostró una desaceleración en relación al trimestre anterior. Este comportamiento se dio en un contexto de mayores restricciones al comercio internacional, incertidumbre en torno a las políticas comerciales, una desaceleración de la economía de China y a la presencia de factores políticos adversos en algunos países. El Fondo Monetario Internacional (FMI), en su actualización de abril del reporte de Perspectivas de la Economía </w:t>
      </w:r>
      <w:r w:rsidRPr="00431EBB">
        <w:rPr>
          <w:rFonts w:ascii="Century Gothic" w:hAnsi="Century Gothic"/>
        </w:rPr>
        <w:lastRenderedPageBreak/>
        <w:t>Mundial, revisó sus proyecciones de crecimiento de la economía mundial para 2019 de 3.5 a 3.3% al tiempo que mantuvo en 3.6% sus proyecciones para 2020.</w:t>
      </w:r>
    </w:p>
    <w:p w14:paraId="31F84AFE" w14:textId="77777777" w:rsidR="00413B46" w:rsidRDefault="00413B46" w:rsidP="00413B46">
      <w:pPr>
        <w:spacing w:line="360" w:lineRule="auto"/>
        <w:rPr>
          <w:rFonts w:ascii="Century Gothic" w:hAnsi="Century Gothic"/>
        </w:rPr>
      </w:pPr>
      <w:r w:rsidRPr="00431EBB">
        <w:rPr>
          <w:rFonts w:ascii="Century Gothic" w:hAnsi="Century Gothic"/>
        </w:rPr>
        <w:t xml:space="preserve">Como parte de la estrategia del Gobierno Federal para mejorar el perfil de amortizaciones de deuda, el 27 de marzo se llevó a cabo una operación de permuta de Bonos M en el mercado interno. En dicha operación se recibieron Bonos M con vencimientos en 2019, 2020, 2021 y 2022, y se entregaron Bonos M con vencimientos en 2024, 2026, 2029 y 2031. En total, se asignaron 26 mil 108.4 millones de pesos, disminuyendo las amortizaciones para 2019 en 699 millones de pesos; en 2020, 9 mil 47.6 millones de pesos; en 2021, 7 mil 513.7 millones de pesos; y en 2022, 8 mil 848.1 millones de pesos. </w:t>
      </w:r>
    </w:p>
    <w:p w14:paraId="1D61B27D" w14:textId="77777777" w:rsidR="00413B46" w:rsidRPr="00431EBB" w:rsidRDefault="00413B46" w:rsidP="00413B46">
      <w:pPr>
        <w:spacing w:line="360" w:lineRule="auto"/>
        <w:rPr>
          <w:rFonts w:ascii="Century Gothic" w:hAnsi="Century Gothic"/>
        </w:rPr>
      </w:pPr>
      <w:r w:rsidRPr="00431EBB">
        <w:rPr>
          <w:rFonts w:ascii="Century Gothic" w:hAnsi="Century Gothic"/>
        </w:rPr>
        <w:t>La evolución de los saldos de la deuda durante el primer trimestre de 2019, se encuentra en línea con los objetivos de la política fiscal para este año. Al finalizar el primer trimestre de 2019, el SHRFSP, indicador que incluye las obligaciones del Sector Público en su versión más amplia, ascendió a 10 billones 523 mil 806 millones de pesos. El componente interno se ubicó en 6 billones 718 mil 550 millones de pesos y el componente externo ascendió a 196 mil 958.4 millones de dólares. Como proporción del PIB, el SHRFSP se ubicó en 42.3% del PIB, menor en 2.5 puntos porcentuales al nivel observado al cierre de 2018. En lo que se refiere a la deuda neta del Sector Público Federal, que incluye la deuda neta del Gobierno Federal, de las empresas productivas del Estado y de la Banca de Desarrollo, al cierre del primer trimestre de 2019 se ubicó en 10 billones 846 mil 881.9 millones de pesos. El componente interno de esta deuda neta se situó en 6 billones 940 mil 998.6 millones de pesos y el externo ascendió a 202 mil 166.9 millones de dólares</w:t>
      </w:r>
    </w:p>
    <w:p w14:paraId="48093270" w14:textId="77777777" w:rsidR="00413B46" w:rsidRPr="00431EBB" w:rsidRDefault="00413B46" w:rsidP="00413B46">
      <w:pPr>
        <w:spacing w:line="360" w:lineRule="auto"/>
        <w:rPr>
          <w:rFonts w:ascii="Century Gothic" w:hAnsi="Century Gothic"/>
        </w:rPr>
      </w:pPr>
      <w:r w:rsidRPr="00431EBB">
        <w:rPr>
          <w:rFonts w:ascii="Century Gothic" w:hAnsi="Century Gothic"/>
        </w:rPr>
        <w:t xml:space="preserve">Finalmente, al cierre del primer trimestre de 2019, el saldo de la deuda neta del Gobierno Federal se ubicó en 8 billones 77 mil 766.7 millones de pesos. La estructura del portafolio actual de la deuda del Gobierno Federal mantiene </w:t>
      </w:r>
      <w:r w:rsidRPr="00431EBB">
        <w:rPr>
          <w:rFonts w:ascii="Century Gothic" w:hAnsi="Century Gothic"/>
        </w:rPr>
        <w:lastRenderedPageBreak/>
        <w:t>la mayor parte de sus pasivos denominados en moneda nacional representando al 31 de marzo de 2019 el 77.3% del saldo total de esta deuda, lo que equivale a 6 billones 240 mil 958.4 millones de pesos. Por su parte, el saldo de la deuda externa neta del Gobierno Federal ascendió a 95 mil 72.4 millones de dólares.</w:t>
      </w:r>
    </w:p>
    <w:p w14:paraId="10A09156" w14:textId="77777777" w:rsidR="00145E86" w:rsidRPr="00145E86" w:rsidRDefault="00145E86" w:rsidP="00145E86">
      <w:pPr>
        <w:rPr>
          <w:rFonts w:ascii="Century Gothic" w:hAnsi="Century Gothic"/>
          <w:szCs w:val="24"/>
        </w:rPr>
      </w:pPr>
    </w:p>
    <w:sectPr w:rsidR="00145E86" w:rsidRPr="00145E8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imes Roman">
    <w:altName w:val="Times New Roman"/>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445B5"/>
    <w:multiLevelType w:val="hybridMultilevel"/>
    <w:tmpl w:val="E02C8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6A87932"/>
    <w:multiLevelType w:val="hybridMultilevel"/>
    <w:tmpl w:val="7BCCE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D7E"/>
    <w:rsid w:val="00085F34"/>
    <w:rsid w:val="000A54CD"/>
    <w:rsid w:val="000D769D"/>
    <w:rsid w:val="00145E86"/>
    <w:rsid w:val="001E40DC"/>
    <w:rsid w:val="00246E15"/>
    <w:rsid w:val="002B0862"/>
    <w:rsid w:val="002D507D"/>
    <w:rsid w:val="00347E8A"/>
    <w:rsid w:val="003932ED"/>
    <w:rsid w:val="00397002"/>
    <w:rsid w:val="00413B46"/>
    <w:rsid w:val="004B6016"/>
    <w:rsid w:val="004C7B26"/>
    <w:rsid w:val="004D1085"/>
    <w:rsid w:val="005C59E7"/>
    <w:rsid w:val="005D28A2"/>
    <w:rsid w:val="00681BC9"/>
    <w:rsid w:val="007017EF"/>
    <w:rsid w:val="00751553"/>
    <w:rsid w:val="007A6A91"/>
    <w:rsid w:val="00A51F93"/>
    <w:rsid w:val="00A61D7E"/>
    <w:rsid w:val="00A65519"/>
    <w:rsid w:val="00AC57BB"/>
    <w:rsid w:val="00B84D77"/>
    <w:rsid w:val="00B9703C"/>
    <w:rsid w:val="00BA76CA"/>
    <w:rsid w:val="00C00177"/>
    <w:rsid w:val="00C46A41"/>
    <w:rsid w:val="00C85E20"/>
    <w:rsid w:val="00CC3B6C"/>
    <w:rsid w:val="00DA0262"/>
    <w:rsid w:val="00E24D8A"/>
    <w:rsid w:val="00EA71B5"/>
    <w:rsid w:val="00EC62B8"/>
    <w:rsid w:val="00EE266C"/>
    <w:rsid w:val="00F263B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329984"/>
  <w15:docId w15:val="{1085A098-CCFF-4027-8C87-48B6470ED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D7E"/>
    <w:pPr>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5519"/>
    <w:pPr>
      <w:ind w:left="720"/>
      <w:contextualSpacing/>
    </w:pPr>
  </w:style>
  <w:style w:type="paragraph" w:styleId="Textodeglobo">
    <w:name w:val="Balloon Text"/>
    <w:basedOn w:val="Normal"/>
    <w:link w:val="TextodegloboCar"/>
    <w:uiPriority w:val="99"/>
    <w:semiHidden/>
    <w:unhideWhenUsed/>
    <w:rsid w:val="003970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70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2397</Words>
  <Characters>11870</Characters>
  <Application>Microsoft Office Word</Application>
  <DocSecurity>0</DocSecurity>
  <Lines>282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2019-05-22T00:08:00Z</cp:lastPrinted>
  <dcterms:created xsi:type="dcterms:W3CDTF">2019-05-21T21:41:00Z</dcterms:created>
  <dcterms:modified xsi:type="dcterms:W3CDTF">2019-05-22T00:20:00Z</dcterms:modified>
</cp:coreProperties>
</file>