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89CF" w14:textId="349AA6C5" w:rsidR="0085394A" w:rsidRDefault="0085394A" w:rsidP="0085394A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14:paraId="2BFC9907" w14:textId="148763A2" w:rsidR="006104DD" w:rsidRDefault="006104DD" w:rsidP="006104DD">
      <w:pPr>
        <w:rPr>
          <w:sz w:val="24"/>
          <w:szCs w:val="24"/>
        </w:rPr>
      </w:pPr>
    </w:p>
    <w:p w14:paraId="6538A77A" w14:textId="77777777" w:rsidR="006104DD" w:rsidRPr="006104DD" w:rsidRDefault="006104DD" w:rsidP="006104DD">
      <w:pPr>
        <w:spacing w:line="312" w:lineRule="auto"/>
        <w:jc w:val="right"/>
        <w:rPr>
          <w:rFonts w:ascii="Calibri" w:eastAsiaTheme="minorHAnsi" w:hAnsi="Calibri" w:cs="Calibri"/>
          <w:sz w:val="24"/>
          <w:szCs w:val="24"/>
          <w:lang w:val="es-MX" w:eastAsia="es-MX"/>
        </w:rPr>
      </w:pPr>
      <w:r w:rsidRPr="006104DD">
        <w:rPr>
          <w:rFonts w:ascii="Calibri" w:eastAsiaTheme="minorHAnsi" w:hAnsi="Calibri" w:cs="Calibri"/>
          <w:sz w:val="24"/>
          <w:szCs w:val="24"/>
          <w:lang w:val="es-MX" w:eastAsia="es-MX"/>
        </w:rPr>
        <w:t>Ciudad de México, 1 de octubre de 2020</w:t>
      </w:r>
    </w:p>
    <w:p w14:paraId="497DE43D" w14:textId="77777777" w:rsidR="006104DD" w:rsidRPr="006104DD" w:rsidRDefault="006104DD" w:rsidP="006104DD">
      <w:pPr>
        <w:spacing w:line="312" w:lineRule="auto"/>
        <w:jc w:val="both"/>
        <w:rPr>
          <w:rFonts w:ascii="Calibri" w:eastAsiaTheme="minorHAnsi" w:hAnsi="Calibri" w:cs="Calibri"/>
          <w:sz w:val="24"/>
          <w:szCs w:val="24"/>
          <w:lang w:val="es-MX" w:eastAsia="es-MX"/>
        </w:rPr>
      </w:pPr>
    </w:p>
    <w:p w14:paraId="7DA9C7BB" w14:textId="77777777" w:rsidR="006104DD" w:rsidRPr="006104DD" w:rsidRDefault="006104DD" w:rsidP="006104DD">
      <w:pPr>
        <w:spacing w:line="312" w:lineRule="auto"/>
        <w:jc w:val="both"/>
        <w:rPr>
          <w:rFonts w:ascii="Calibri" w:eastAsiaTheme="minorHAnsi" w:hAnsi="Calibri" w:cs="Calibri"/>
          <w:b/>
          <w:bCs/>
          <w:sz w:val="24"/>
          <w:szCs w:val="24"/>
          <w:lang w:val="es-MX" w:eastAsia="es-MX"/>
        </w:rPr>
      </w:pPr>
      <w:r w:rsidRPr="006104DD">
        <w:rPr>
          <w:rFonts w:ascii="Calibri" w:eastAsiaTheme="minorHAnsi" w:hAnsi="Calibri" w:cs="Calibri"/>
          <w:b/>
          <w:bCs/>
          <w:sz w:val="24"/>
          <w:szCs w:val="24"/>
          <w:lang w:val="es-MX" w:eastAsia="es-MX"/>
        </w:rPr>
        <w:t>Cámara de Diputados</w:t>
      </w:r>
    </w:p>
    <w:p w14:paraId="75604D63" w14:textId="77777777" w:rsidR="006104DD" w:rsidRPr="006104DD" w:rsidRDefault="006104DD" w:rsidP="006104DD">
      <w:pPr>
        <w:spacing w:line="312" w:lineRule="auto"/>
        <w:jc w:val="both"/>
        <w:rPr>
          <w:rFonts w:ascii="Calibri" w:eastAsiaTheme="minorHAnsi" w:hAnsi="Calibri" w:cs="Calibri"/>
          <w:b/>
          <w:bCs/>
          <w:sz w:val="24"/>
          <w:szCs w:val="24"/>
          <w:lang w:val="es-MX" w:eastAsia="es-MX"/>
        </w:rPr>
      </w:pPr>
      <w:r w:rsidRPr="006104DD">
        <w:rPr>
          <w:rFonts w:ascii="Calibri" w:eastAsiaTheme="minorHAnsi" w:hAnsi="Calibri" w:cs="Calibri"/>
          <w:b/>
          <w:bCs/>
          <w:sz w:val="24"/>
          <w:szCs w:val="24"/>
          <w:lang w:val="es-MX" w:eastAsia="es-MX"/>
        </w:rPr>
        <w:t>LXIV Legislatura</w:t>
      </w:r>
    </w:p>
    <w:p w14:paraId="0A85C3EE" w14:textId="77777777" w:rsidR="006104DD" w:rsidRPr="006104DD" w:rsidRDefault="006104DD" w:rsidP="006104DD">
      <w:pPr>
        <w:spacing w:line="312" w:lineRule="auto"/>
        <w:jc w:val="both"/>
        <w:rPr>
          <w:rFonts w:ascii="Calibri" w:eastAsiaTheme="minorHAnsi" w:hAnsi="Calibri" w:cs="Calibri"/>
          <w:b/>
          <w:bCs/>
          <w:sz w:val="24"/>
          <w:szCs w:val="24"/>
          <w:lang w:val="es-MX" w:eastAsia="es-MX"/>
        </w:rPr>
      </w:pPr>
      <w:r w:rsidRPr="006104DD">
        <w:rPr>
          <w:rFonts w:ascii="Calibri" w:eastAsiaTheme="minorHAnsi" w:hAnsi="Calibri" w:cs="Calibri"/>
          <w:b/>
          <w:bCs/>
          <w:sz w:val="24"/>
          <w:szCs w:val="24"/>
          <w:lang w:val="es-MX" w:eastAsia="es-MX"/>
        </w:rPr>
        <w:t>Comisión de Hacienda y Crédito Público</w:t>
      </w:r>
    </w:p>
    <w:p w14:paraId="48BA49C4" w14:textId="77777777" w:rsidR="006104DD" w:rsidRPr="006104DD" w:rsidRDefault="006104DD" w:rsidP="006104DD">
      <w:pPr>
        <w:spacing w:line="312" w:lineRule="auto"/>
        <w:jc w:val="both"/>
        <w:rPr>
          <w:rFonts w:ascii="Calibri" w:eastAsiaTheme="minorHAnsi" w:hAnsi="Calibri" w:cs="Calibri"/>
          <w:sz w:val="24"/>
          <w:szCs w:val="24"/>
          <w:lang w:val="es-MX" w:eastAsia="es-MX"/>
        </w:rPr>
      </w:pPr>
      <w:r w:rsidRPr="006104DD">
        <w:rPr>
          <w:rFonts w:ascii="Calibri" w:eastAsiaTheme="minorHAnsi" w:hAnsi="Calibri" w:cs="Calibri"/>
          <w:sz w:val="24"/>
          <w:szCs w:val="24"/>
          <w:lang w:val="es-MX" w:eastAsia="es-MX"/>
        </w:rPr>
        <w:t>Presente</w:t>
      </w:r>
    </w:p>
    <w:p w14:paraId="2DACC8E8" w14:textId="77777777" w:rsidR="006104DD" w:rsidRPr="006104DD" w:rsidRDefault="006104DD" w:rsidP="006104DD">
      <w:pPr>
        <w:spacing w:line="312" w:lineRule="auto"/>
        <w:jc w:val="both"/>
        <w:rPr>
          <w:rFonts w:ascii="Calibri" w:eastAsiaTheme="minorHAnsi" w:hAnsi="Calibri" w:cs="Calibri"/>
          <w:sz w:val="24"/>
          <w:szCs w:val="24"/>
          <w:lang w:val="es-MX" w:eastAsia="es-MX"/>
        </w:rPr>
      </w:pPr>
    </w:p>
    <w:p w14:paraId="58A44AEA" w14:textId="77777777" w:rsidR="006104DD" w:rsidRPr="006104DD" w:rsidRDefault="006104DD" w:rsidP="006104DD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val="es-MX" w:eastAsia="es-MX"/>
        </w:rPr>
      </w:pPr>
      <w:r w:rsidRPr="006104DD">
        <w:rPr>
          <w:rFonts w:eastAsiaTheme="minorHAnsi"/>
          <w:b/>
          <w:sz w:val="24"/>
          <w:szCs w:val="24"/>
          <w:lang w:val="es-MX" w:eastAsia="es-MX"/>
        </w:rPr>
        <w:t>COEO CONSULTORES S.C.</w:t>
      </w:r>
      <w:r w:rsidRPr="006104DD">
        <w:rPr>
          <w:rFonts w:eastAsiaTheme="minorHAnsi"/>
          <w:sz w:val="24"/>
          <w:szCs w:val="24"/>
          <w:lang w:val="es-MX" w:eastAsia="es-MX"/>
        </w:rPr>
        <w:t xml:space="preserve"> es un despacho de Asesoría Corporativa, Legal y Fiscal, especializado en Organizaciones de la Sociedad Civil, cuyo propósito es acompañar a las organizaciones a operar de la mejor manera en el Sector de la economía que se desarrollan, con las mejores prácticas de Gobierno Corporativo y que estén en cumplimiento de la normatividad aplicable en el Tercer sector de la economía.</w:t>
      </w:r>
    </w:p>
    <w:p w14:paraId="31DADCA8" w14:textId="77777777" w:rsidR="006104DD" w:rsidRPr="006104DD" w:rsidRDefault="006104DD" w:rsidP="006104DD">
      <w:pPr>
        <w:spacing w:line="276" w:lineRule="auto"/>
        <w:ind w:firstLine="708"/>
        <w:jc w:val="both"/>
        <w:rPr>
          <w:rFonts w:eastAsiaTheme="minorHAnsi"/>
          <w:b/>
          <w:sz w:val="24"/>
          <w:szCs w:val="24"/>
          <w:lang w:val="es-MX" w:eastAsia="es-MX"/>
        </w:rPr>
      </w:pPr>
    </w:p>
    <w:p w14:paraId="344FF738" w14:textId="77777777" w:rsidR="006104DD" w:rsidRPr="006104DD" w:rsidRDefault="006104DD" w:rsidP="006104DD">
      <w:pPr>
        <w:spacing w:line="312" w:lineRule="auto"/>
        <w:ind w:firstLine="851"/>
        <w:jc w:val="both"/>
        <w:rPr>
          <w:rFonts w:ascii="Calibri" w:eastAsiaTheme="minorHAnsi" w:hAnsi="Calibri" w:cs="Calibri"/>
          <w:sz w:val="24"/>
          <w:szCs w:val="24"/>
          <w:lang w:val="es-MX" w:eastAsia="es-MX"/>
        </w:rPr>
      </w:pPr>
      <w:r w:rsidRPr="006104DD">
        <w:rPr>
          <w:rFonts w:ascii="Calibri" w:eastAsiaTheme="minorHAnsi" w:hAnsi="Calibri" w:cs="Calibri"/>
          <w:sz w:val="24"/>
          <w:szCs w:val="24"/>
          <w:lang w:val="es-MX" w:eastAsia="es-MX"/>
        </w:rPr>
        <w:t xml:space="preserve">Con más de 20 años de experiencia asesorando Organizaciones de la Sociedad Civil, hemos estudiado cada uno de los cambios propuestos por el Ejecutivo y tenemos opiniones que pueden ayudar a regular de mejor manera a las Donatarias Autorizadas. </w:t>
      </w:r>
    </w:p>
    <w:p w14:paraId="7ACBDF2E" w14:textId="77777777" w:rsidR="006104DD" w:rsidRPr="006104DD" w:rsidRDefault="006104DD" w:rsidP="006104DD">
      <w:pPr>
        <w:spacing w:line="312" w:lineRule="auto"/>
        <w:ind w:firstLine="851"/>
        <w:jc w:val="both"/>
        <w:rPr>
          <w:rFonts w:ascii="Calibri" w:eastAsiaTheme="minorHAnsi" w:hAnsi="Calibri" w:cs="Calibri"/>
          <w:sz w:val="24"/>
          <w:szCs w:val="24"/>
          <w:lang w:val="es-MX" w:eastAsia="es-MX"/>
        </w:rPr>
      </w:pPr>
    </w:p>
    <w:p w14:paraId="7A3DDE9E" w14:textId="6ACBE27D" w:rsidR="006104DD" w:rsidRPr="006104DD" w:rsidRDefault="006104DD" w:rsidP="006104DD">
      <w:pPr>
        <w:spacing w:line="312" w:lineRule="auto"/>
        <w:ind w:firstLine="851"/>
        <w:jc w:val="both"/>
        <w:rPr>
          <w:rFonts w:ascii="Calibri" w:eastAsiaTheme="minorHAnsi" w:hAnsi="Calibri" w:cs="Calibri"/>
          <w:sz w:val="24"/>
          <w:szCs w:val="24"/>
          <w:lang w:val="es-MX" w:eastAsia="es-MX"/>
        </w:rPr>
      </w:pPr>
      <w:r w:rsidRPr="006104DD">
        <w:rPr>
          <w:rFonts w:ascii="Calibri" w:eastAsiaTheme="minorHAnsi" w:hAnsi="Calibri" w:cs="Calibri"/>
          <w:sz w:val="24"/>
          <w:szCs w:val="24"/>
          <w:lang w:val="es-MX" w:eastAsia="es-MX"/>
        </w:rPr>
        <w:t>En nuestra calidad de especialistas contamos con un interés justificado debido al conocimiento legal del sector que rige a las Donatarias Autorizadas y nos resulta de suma importancia participar en este Parlamento Abierto y exponer las siguientes propuesta</w:t>
      </w:r>
      <w:r w:rsidR="00243E89">
        <w:rPr>
          <w:rFonts w:ascii="Calibri" w:eastAsiaTheme="minorHAnsi" w:hAnsi="Calibri" w:cs="Calibri"/>
          <w:sz w:val="24"/>
          <w:szCs w:val="24"/>
          <w:lang w:val="es-MX" w:eastAsia="es-MX"/>
        </w:rPr>
        <w:t xml:space="preserve">s que adjuntamos a la presente misiva. </w:t>
      </w:r>
    </w:p>
    <w:p w14:paraId="32925DCB" w14:textId="77777777" w:rsidR="006104DD" w:rsidRPr="006104DD" w:rsidRDefault="006104DD" w:rsidP="006104DD">
      <w:pPr>
        <w:spacing w:line="312" w:lineRule="auto"/>
        <w:jc w:val="right"/>
        <w:rPr>
          <w:rFonts w:asciiTheme="minorHAnsi" w:eastAsiaTheme="minorHAnsi" w:hAnsiTheme="minorHAnsi" w:cstheme="minorHAnsi"/>
          <w:sz w:val="24"/>
          <w:szCs w:val="24"/>
          <w:lang w:val="es-MX" w:eastAsia="es-MX"/>
        </w:rPr>
      </w:pPr>
    </w:p>
    <w:p w14:paraId="1CB8E212" w14:textId="6D58CA1B" w:rsidR="00243E89" w:rsidRDefault="00243E89" w:rsidP="006104DD">
      <w:pPr>
        <w:spacing w:line="312" w:lineRule="auto"/>
        <w:jc w:val="both"/>
        <w:rPr>
          <w:rFonts w:eastAsiaTheme="minorHAnsi"/>
          <w:sz w:val="24"/>
          <w:szCs w:val="24"/>
          <w:lang w:val="es-MX" w:eastAsia="es-MX"/>
        </w:rPr>
      </w:pPr>
      <w:r>
        <w:rPr>
          <w:rFonts w:eastAsiaTheme="minorHAnsi"/>
          <w:sz w:val="24"/>
          <w:szCs w:val="24"/>
          <w:lang w:val="es-MX" w:eastAsia="es-MX"/>
        </w:rPr>
        <w:t xml:space="preserve">Atentamente, </w:t>
      </w:r>
    </w:p>
    <w:p w14:paraId="42E0BFA6" w14:textId="041DAC1F" w:rsidR="00243E89" w:rsidRDefault="00243E89" w:rsidP="006104DD">
      <w:pPr>
        <w:spacing w:line="312" w:lineRule="auto"/>
        <w:jc w:val="both"/>
        <w:rPr>
          <w:rFonts w:eastAsiaTheme="minorHAnsi"/>
          <w:sz w:val="24"/>
          <w:szCs w:val="24"/>
          <w:lang w:val="es-MX" w:eastAsia="es-MX"/>
        </w:rPr>
      </w:pPr>
      <w:r>
        <w:rPr>
          <w:rFonts w:eastAsiaTheme="minorHAnsi"/>
          <w:noProof/>
          <w:sz w:val="24"/>
          <w:szCs w:val="24"/>
          <w:lang w:val="es-MX" w:eastAsia="es-MX"/>
        </w:rPr>
        <w:drawing>
          <wp:inline distT="0" distB="0" distL="0" distR="0" wp14:anchorId="0160E3F4" wp14:editId="326F27DB">
            <wp:extent cx="1249017" cy="647700"/>
            <wp:effectExtent l="0" t="0" r="889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78" cy="65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7614B" w14:textId="655F0364" w:rsidR="00243E89" w:rsidRDefault="00243E89" w:rsidP="006104DD">
      <w:pPr>
        <w:spacing w:line="312" w:lineRule="auto"/>
        <w:jc w:val="both"/>
        <w:rPr>
          <w:rFonts w:eastAsiaTheme="minorHAnsi"/>
          <w:sz w:val="24"/>
          <w:szCs w:val="24"/>
          <w:lang w:val="es-MX" w:eastAsia="es-MX"/>
        </w:rPr>
      </w:pPr>
      <w:r>
        <w:rPr>
          <w:rFonts w:eastAsiaTheme="minorHAnsi"/>
          <w:sz w:val="24"/>
          <w:szCs w:val="24"/>
          <w:lang w:val="es-MX" w:eastAsia="es-MX"/>
        </w:rPr>
        <w:t xml:space="preserve">Lic. José Ernesto Bermejo Jiménez </w:t>
      </w:r>
    </w:p>
    <w:p w14:paraId="09121196" w14:textId="74FFC73B" w:rsidR="00243E89" w:rsidRDefault="00243E89" w:rsidP="006104DD">
      <w:pPr>
        <w:spacing w:line="312" w:lineRule="auto"/>
        <w:jc w:val="both"/>
        <w:rPr>
          <w:rFonts w:eastAsiaTheme="minorHAnsi"/>
          <w:sz w:val="24"/>
          <w:szCs w:val="24"/>
          <w:lang w:val="es-MX" w:eastAsia="es-MX"/>
        </w:rPr>
      </w:pPr>
      <w:r>
        <w:rPr>
          <w:rFonts w:eastAsiaTheme="minorHAnsi"/>
          <w:sz w:val="24"/>
          <w:szCs w:val="24"/>
          <w:lang w:val="es-MX" w:eastAsia="es-MX"/>
        </w:rPr>
        <w:t>Director General</w:t>
      </w:r>
    </w:p>
    <w:p w14:paraId="138B21E4" w14:textId="43D28327" w:rsidR="00243E89" w:rsidRDefault="00243E89" w:rsidP="006104DD">
      <w:pPr>
        <w:spacing w:line="312" w:lineRule="auto"/>
        <w:jc w:val="both"/>
        <w:rPr>
          <w:rFonts w:eastAsiaTheme="minorHAnsi"/>
          <w:sz w:val="24"/>
          <w:szCs w:val="24"/>
          <w:lang w:val="es-MX" w:eastAsia="es-MX"/>
        </w:rPr>
      </w:pPr>
      <w:r>
        <w:rPr>
          <w:rFonts w:eastAsiaTheme="minorHAnsi"/>
          <w:sz w:val="24"/>
          <w:szCs w:val="24"/>
          <w:lang w:val="es-MX" w:eastAsia="es-MX"/>
        </w:rPr>
        <w:t>Coeo Consultores SC</w:t>
      </w:r>
    </w:p>
    <w:p w14:paraId="613A58FB" w14:textId="419D7A15" w:rsidR="006104DD" w:rsidRPr="006104DD" w:rsidRDefault="00243E89" w:rsidP="006104DD">
      <w:pPr>
        <w:spacing w:line="312" w:lineRule="auto"/>
        <w:jc w:val="both"/>
        <w:rPr>
          <w:rFonts w:eastAsiaTheme="minorHAnsi"/>
          <w:sz w:val="24"/>
          <w:szCs w:val="24"/>
          <w:lang w:val="es-MX" w:eastAsia="es-MX"/>
        </w:rPr>
      </w:pPr>
      <w:r>
        <w:rPr>
          <w:rFonts w:eastAsiaTheme="minorHAnsi"/>
          <w:sz w:val="24"/>
          <w:szCs w:val="24"/>
          <w:lang w:val="es-MX" w:eastAsia="es-MX"/>
        </w:rPr>
        <w:t>Abogados especialistas en asesoría en Organizaciones de la Sociedad Civil en México</w:t>
      </w:r>
    </w:p>
    <w:p w14:paraId="026C3FD1" w14:textId="77777777" w:rsidR="006104DD" w:rsidRPr="006104DD" w:rsidRDefault="006104DD" w:rsidP="006104DD">
      <w:pPr>
        <w:spacing w:line="312" w:lineRule="auto"/>
        <w:jc w:val="both"/>
        <w:rPr>
          <w:rFonts w:eastAsiaTheme="minorHAnsi"/>
          <w:sz w:val="24"/>
          <w:szCs w:val="24"/>
          <w:lang w:val="es-MX" w:eastAsia="es-MX"/>
        </w:rPr>
      </w:pPr>
    </w:p>
    <w:p w14:paraId="0DD8D539" w14:textId="77777777" w:rsidR="006104DD" w:rsidRPr="006104DD" w:rsidRDefault="006104DD" w:rsidP="006104DD">
      <w:pPr>
        <w:spacing w:line="312" w:lineRule="auto"/>
        <w:jc w:val="both"/>
        <w:rPr>
          <w:rFonts w:eastAsiaTheme="minorHAnsi"/>
          <w:sz w:val="24"/>
          <w:szCs w:val="24"/>
          <w:lang w:val="es-MX" w:eastAsia="es-MX"/>
        </w:rPr>
      </w:pPr>
    </w:p>
    <w:p w14:paraId="5278AA33" w14:textId="77777777" w:rsidR="006104DD" w:rsidRPr="006104DD" w:rsidRDefault="006104DD" w:rsidP="006104DD">
      <w:pPr>
        <w:spacing w:line="312" w:lineRule="auto"/>
        <w:jc w:val="both"/>
        <w:rPr>
          <w:rFonts w:eastAsiaTheme="minorHAnsi"/>
          <w:sz w:val="24"/>
          <w:szCs w:val="24"/>
          <w:lang w:val="es-MX" w:eastAsia="es-MX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2687"/>
        <w:gridCol w:w="3408"/>
      </w:tblGrid>
      <w:tr w:rsidR="006104DD" w:rsidRPr="006104DD" w14:paraId="251CE66F" w14:textId="77777777" w:rsidTr="00F551A2">
        <w:tc>
          <w:tcPr>
            <w:tcW w:w="2689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43BC" w14:textId="77777777" w:rsidR="006104DD" w:rsidRPr="006104DD" w:rsidRDefault="006104DD" w:rsidP="006104DD">
            <w:pPr>
              <w:spacing w:line="312" w:lineRule="auto"/>
              <w:jc w:val="center"/>
              <w:rPr>
                <w:rFonts w:eastAsiaTheme="minorHAnsi"/>
                <w:b/>
                <w:bCs/>
                <w:color w:val="FFFFFF" w:themeColor="background1"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  <w:highlight w:val="black"/>
                <w:lang w:val="es-MX" w:eastAsia="es-MX"/>
              </w:rPr>
              <w:t>Organización</w:t>
            </w:r>
          </w:p>
        </w:tc>
        <w:tc>
          <w:tcPr>
            <w:tcW w:w="2693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8201" w14:textId="77777777" w:rsidR="006104DD" w:rsidRPr="006104DD" w:rsidRDefault="006104DD" w:rsidP="006104DD">
            <w:pPr>
              <w:spacing w:line="312" w:lineRule="auto"/>
              <w:jc w:val="both"/>
              <w:rPr>
                <w:rFonts w:eastAsiaTheme="minorHAnsi"/>
                <w:b/>
                <w:bCs/>
                <w:color w:val="FFFFFF" w:themeColor="background1"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  <w:highlight w:val="black"/>
                <w:lang w:val="es-MX" w:eastAsia="es-MX"/>
              </w:rPr>
              <w:t>Ley/Artículo/Supuesto Observado</w:t>
            </w:r>
          </w:p>
        </w:tc>
        <w:tc>
          <w:tcPr>
            <w:tcW w:w="3436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19D5" w14:textId="77777777" w:rsidR="006104DD" w:rsidRPr="006104DD" w:rsidRDefault="006104DD" w:rsidP="00243E89">
            <w:pPr>
              <w:spacing w:line="312" w:lineRule="auto"/>
              <w:jc w:val="both"/>
              <w:rPr>
                <w:rFonts w:eastAsiaTheme="minorHAnsi"/>
                <w:b/>
                <w:bCs/>
                <w:color w:val="FFFFFF" w:themeColor="background1"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  <w:highlight w:val="black"/>
                <w:lang w:val="es-MX" w:eastAsia="es-MX"/>
              </w:rPr>
              <w:t>Propuesta</w:t>
            </w:r>
          </w:p>
        </w:tc>
      </w:tr>
      <w:tr w:rsidR="006104DD" w:rsidRPr="006104DD" w14:paraId="5AE4FFBF" w14:textId="77777777" w:rsidTr="00F551A2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F2EF" w14:textId="77777777" w:rsidR="006104DD" w:rsidRPr="006104DD" w:rsidRDefault="006104DD" w:rsidP="006104DD">
            <w:pPr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</w:pPr>
            <w:r w:rsidRPr="006104DD"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  <w:t xml:space="preserve">Coeo Consultores SC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FB4F" w14:textId="77777777" w:rsidR="006104DD" w:rsidRPr="00243E89" w:rsidRDefault="006104DD" w:rsidP="006104DD">
            <w:pPr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</w:pPr>
            <w:r w:rsidRPr="00243E89"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  <w:t xml:space="preserve">Ley del Impuesto Sobre la Renta. </w:t>
            </w:r>
          </w:p>
          <w:p w14:paraId="6534A705" w14:textId="28B8F8F1" w:rsidR="006104DD" w:rsidRPr="006104DD" w:rsidRDefault="006104DD" w:rsidP="006104DD">
            <w:pPr>
              <w:rPr>
                <w:rFonts w:ascii="Calibri" w:eastAsiaTheme="minorHAnsi" w:hAnsi="Calibri" w:cs="Calibri"/>
                <w:sz w:val="21"/>
                <w:szCs w:val="21"/>
                <w:lang w:val="es-MX" w:eastAsia="es-MX"/>
              </w:rPr>
            </w:pPr>
            <w:r w:rsidRPr="006104DD"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  <w:t xml:space="preserve">Artículo 82 </w:t>
            </w:r>
            <w:proofErr w:type="spellStart"/>
            <w:r w:rsidRPr="006104DD"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  <w:t>Quater</w:t>
            </w:r>
            <w:proofErr w:type="spellEnd"/>
            <w:r w:rsidRPr="006104DD"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  <w:t>.</w:t>
            </w:r>
            <w:r w:rsidRPr="006104DD">
              <w:rPr>
                <w:rFonts w:ascii="Calibri" w:eastAsiaTheme="minorHAnsi" w:hAnsi="Calibri" w:cs="Calibri"/>
                <w:sz w:val="21"/>
                <w:szCs w:val="21"/>
                <w:lang w:val="es-MX" w:eastAsia="es-MX"/>
              </w:rPr>
              <w:t xml:space="preserve">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4FBF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A efecto de otorgar mayor seguridad jurídica, se plantea modificar el artículo 82-Quáter a fin de incluir dentro de la Ley del Impuesto sobre la Renta las causales de revocación de la autorización y el procedimiento que se debe seguir para tales efectos. </w:t>
            </w:r>
          </w:p>
          <w:p w14:paraId="64181F90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0C7FB49A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Las causales de Revocación deben de limitarse a los casos graves como lo son el salir publicado en la lista a que se refiere el cuarto párrafo del artículo 69-B del CFF. </w:t>
            </w:r>
          </w:p>
          <w:p w14:paraId="1A4030E5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2BA07678" w14:textId="13B71D74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>Con la propuesta del Ejecutivo al incluir varias causales de revocación generales y abarcantes</w:t>
            </w: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, se infringe la libre asociación consagrada en la Constitución Política de los Estados Unidos Mexicanos. </w:t>
            </w:r>
          </w:p>
          <w:p w14:paraId="45ED92B0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46215383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u w:val="single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sz w:val="24"/>
                <w:szCs w:val="24"/>
                <w:u w:val="single"/>
                <w:lang w:val="es-MX" w:eastAsia="es-MX"/>
              </w:rPr>
              <w:t xml:space="preserve">Propuesta de redacción: </w:t>
            </w:r>
          </w:p>
          <w:p w14:paraId="078D9FCF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5F388C28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Artículo 82-Quáter. Para los efectos del párrafo cuarto del artículo 82 de esta Ley, se estará a lo siguiente:  </w:t>
            </w:r>
          </w:p>
          <w:p w14:paraId="1765D112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381260A7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Son causales de revocación de la autorización para recibir donativos deducibles las cuales darán inicio al procedimiento de revocación: </w:t>
            </w:r>
          </w:p>
          <w:p w14:paraId="3412BA97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4D8CF71D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lastRenderedPageBreak/>
              <w:t xml:space="preserve">Cuando con motivo del ejercicio de las facultades de comprobación o de los expedientes, documentos o bases de datos del Servicio de Administración Tributaria a las que tenga acceso o tenga en su poder dicho órgano administrativo desconcentrado, se conozca estar incluida en la lista a que se refiere el cuarto párrafo del artículo 69-B del Código Fiscal de la Federación. </w:t>
            </w:r>
          </w:p>
          <w:p w14:paraId="33F0FF95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3F89CE1F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>En el caso de que las organizaciones civiles y fideicomisos cuya autorización para recibir donativos deducibles para efectos del impuesto sobre la renta hayan sido revocadas en una ocasión por la causal a que se refiere este apartado, no podrán obtener nuevamente la autorización y deberán destinar todo su patrimonio a otra donataria autorizada para recibir donativos deducibles del impuesto sobre la renta.</w:t>
            </w:r>
          </w:p>
          <w:p w14:paraId="24B550AF" w14:textId="77777777" w:rsidR="006104DD" w:rsidRPr="006104DD" w:rsidRDefault="006104DD" w:rsidP="00243E89">
            <w:pPr>
              <w:jc w:val="both"/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</w:pPr>
          </w:p>
        </w:tc>
      </w:tr>
      <w:tr w:rsidR="006104DD" w:rsidRPr="006104DD" w14:paraId="6B577A2E" w14:textId="77777777" w:rsidTr="00F551A2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F7D4" w14:textId="6ADDA426" w:rsidR="006104DD" w:rsidRPr="00243E89" w:rsidRDefault="006104DD" w:rsidP="006104DD">
            <w:pPr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</w:pPr>
            <w:r w:rsidRPr="00243E89"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  <w:lastRenderedPageBreak/>
              <w:t>Coeo Consultores SC</w:t>
            </w:r>
          </w:p>
          <w:p w14:paraId="536A09E0" w14:textId="77777777" w:rsidR="006104DD" w:rsidRDefault="006104DD" w:rsidP="006104DD">
            <w:pPr>
              <w:rPr>
                <w:rFonts w:ascii="Calibri" w:eastAsiaTheme="minorHAnsi" w:hAnsi="Calibri" w:cs="Calibri"/>
                <w:sz w:val="21"/>
                <w:szCs w:val="21"/>
                <w:lang w:val="es-MX" w:eastAsia="es-MX"/>
              </w:rPr>
            </w:pPr>
          </w:p>
          <w:p w14:paraId="6C64DAE1" w14:textId="07D3622D" w:rsidR="006104DD" w:rsidRPr="006104DD" w:rsidRDefault="006104DD" w:rsidP="006104DD">
            <w:pPr>
              <w:rPr>
                <w:rFonts w:ascii="Calibri" w:eastAsiaTheme="minorHAnsi" w:hAnsi="Calibri" w:cs="Calibri"/>
                <w:sz w:val="21"/>
                <w:szCs w:val="21"/>
                <w:lang w:val="es-MX" w:eastAsia="es-MX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CA51" w14:textId="27B61589" w:rsidR="006104DD" w:rsidRPr="00243E89" w:rsidRDefault="006104DD" w:rsidP="006104DD">
            <w:pPr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</w:pPr>
            <w:r w:rsidRPr="00243E89">
              <w:rPr>
                <w:rFonts w:ascii="Calibri" w:eastAsiaTheme="minorHAnsi" w:hAnsi="Calibri" w:cs="Calibri"/>
                <w:b/>
                <w:bCs/>
                <w:sz w:val="21"/>
                <w:szCs w:val="21"/>
                <w:lang w:val="es-MX" w:eastAsia="es-MX"/>
              </w:rPr>
              <w:t xml:space="preserve">Ley del Impuesto Sobre la Renta, Penúltimo párrafo del Artículo 79. </w:t>
            </w: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712A" w14:textId="77777777" w:rsid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Proponemos el dejar el texto de la ley como esta redactado. </w:t>
            </w:r>
          </w:p>
          <w:p w14:paraId="48C0AC45" w14:textId="77777777" w:rsid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48FECB87" w14:textId="107E9D84" w:rsid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Advertimos que de pasar la propuesta del Ejecutivo se estarían cometiendo grandes injusticias con múltiples organizaciones de la sociedad civil que al dar cumplimiento a su objeto social autorizado y por no poder reunir el 100% de la comprobación fiscal de sus erogaciones y según los </w:t>
            </w:r>
            <w:r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lastRenderedPageBreak/>
              <w:t>procedimientos establecidos por la Autoridad, terminarán pagando un impuesto sobre la renta por cumplir con sus fines sociales</w:t>
            </w:r>
            <w:r w:rsidR="00243E89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>.</w:t>
            </w:r>
          </w:p>
          <w:p w14:paraId="41732720" w14:textId="77777777" w:rsid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2C171863" w14:textId="77777777" w:rsid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Una buena parte de las donatarias autorizadas destinan sus recursos económicos a la realización de acciones, proyectos y programas que se operan en comunidades en las que la actividad económica escasamente subsiste de manera local para cubrir las necesidades de su población. </w:t>
            </w:r>
          </w:p>
          <w:p w14:paraId="237E3677" w14:textId="77777777" w:rsid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5884015F" w14:textId="77777777" w:rsidR="00243E89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El acceso a internet y métodos electrónicos para la comprobación fiscal es </w:t>
            </w:r>
            <w:r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imposible para buena parte de la población en México. </w:t>
            </w:r>
          </w:p>
          <w:p w14:paraId="31096228" w14:textId="77777777" w:rsidR="00243E89" w:rsidRDefault="00243E89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012F0D65" w14:textId="5B359105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Pretender castigar con el 30% sobre las erogaciones que no cumplan con los requisitos fiscales, es condenar a muchas organizaciones a desaparecer. </w:t>
            </w:r>
          </w:p>
          <w:p w14:paraId="052192FE" w14:textId="77777777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</w:p>
          <w:p w14:paraId="1BB78AE0" w14:textId="5C53E28E" w:rsidR="006104DD" w:rsidRPr="006104DD" w:rsidRDefault="006104DD" w:rsidP="00243E8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</w:pP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La modificación que propone el ejecutivo al párrafo penúltimo del Art. 79 de la Ley del Impuesto Sobre la </w:t>
            </w:r>
            <w:r w:rsidR="00243E89"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>Renta limita</w:t>
            </w: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 la operación de las causas sociales en </w:t>
            </w:r>
            <w:r w:rsidR="00243E89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>México,</w:t>
            </w:r>
            <w:r w:rsidRPr="006104DD">
              <w:rPr>
                <w:rFonts w:eastAsiaTheme="minorHAnsi"/>
                <w:b/>
                <w:bCs/>
                <w:sz w:val="24"/>
                <w:szCs w:val="24"/>
                <w:lang w:val="es-MX" w:eastAsia="es-MX"/>
              </w:rPr>
              <w:t xml:space="preserve"> por lo que pedimos continúe en su texto vigente.</w:t>
            </w:r>
          </w:p>
        </w:tc>
      </w:tr>
    </w:tbl>
    <w:p w14:paraId="1E3428BE" w14:textId="77777777" w:rsidR="006104DD" w:rsidRPr="006104DD" w:rsidRDefault="006104DD" w:rsidP="006104DD">
      <w:pPr>
        <w:rPr>
          <w:rFonts w:eastAsiaTheme="minorHAnsi"/>
          <w:sz w:val="22"/>
          <w:szCs w:val="22"/>
          <w:lang w:val="es-MX" w:eastAsia="es-MX"/>
        </w:rPr>
      </w:pPr>
    </w:p>
    <w:p w14:paraId="520BB925" w14:textId="77777777" w:rsidR="006104DD" w:rsidRPr="006104DD" w:rsidRDefault="006104DD" w:rsidP="006104DD">
      <w:pPr>
        <w:rPr>
          <w:rFonts w:eastAsiaTheme="minorHAnsi"/>
          <w:sz w:val="22"/>
          <w:szCs w:val="22"/>
          <w:lang w:val="es-MX" w:eastAsia="es-MX"/>
        </w:rPr>
      </w:pPr>
    </w:p>
    <w:p w14:paraId="26CA9C28" w14:textId="77777777" w:rsidR="006104DD" w:rsidRPr="006104DD" w:rsidRDefault="006104DD" w:rsidP="006104DD">
      <w:pPr>
        <w:rPr>
          <w:sz w:val="24"/>
          <w:szCs w:val="24"/>
          <w:lang w:val="es-MX" w:eastAsia="es-MX"/>
        </w:rPr>
      </w:pPr>
    </w:p>
    <w:p w14:paraId="0D546841" w14:textId="77777777" w:rsidR="006104DD" w:rsidRPr="006104DD" w:rsidRDefault="006104DD" w:rsidP="006104DD">
      <w:pPr>
        <w:rPr>
          <w:rFonts w:eastAsiaTheme="minorHAnsi"/>
          <w:sz w:val="22"/>
          <w:szCs w:val="22"/>
          <w:lang w:val="es-MX" w:eastAsia="es-MX"/>
        </w:rPr>
      </w:pPr>
    </w:p>
    <w:p w14:paraId="7A3039AF" w14:textId="77777777" w:rsidR="006104DD" w:rsidRPr="006104DD" w:rsidRDefault="006104DD" w:rsidP="006104DD">
      <w:pPr>
        <w:rPr>
          <w:rFonts w:eastAsiaTheme="minorHAnsi"/>
          <w:sz w:val="22"/>
          <w:szCs w:val="22"/>
          <w:lang w:val="es-MX" w:eastAsia="es-MX"/>
        </w:rPr>
      </w:pPr>
    </w:p>
    <w:p w14:paraId="2905F945" w14:textId="77777777" w:rsidR="006104DD" w:rsidRPr="006104DD" w:rsidRDefault="006104DD" w:rsidP="006104DD">
      <w:pPr>
        <w:ind w:firstLine="708"/>
        <w:rPr>
          <w:sz w:val="24"/>
          <w:szCs w:val="24"/>
          <w:lang w:val="es-MX"/>
        </w:rPr>
      </w:pPr>
    </w:p>
    <w:sectPr w:rsidR="006104DD" w:rsidRPr="006104DD" w:rsidSect="00303EB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851" w:left="1701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ED94C" w14:textId="77777777" w:rsidR="001867C3" w:rsidRDefault="001867C3" w:rsidP="00C86101">
      <w:r>
        <w:separator/>
      </w:r>
    </w:p>
  </w:endnote>
  <w:endnote w:type="continuationSeparator" w:id="0">
    <w:p w14:paraId="756E2ED7" w14:textId="77777777" w:rsidR="001867C3" w:rsidRDefault="001867C3" w:rsidP="00C8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53880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</w:rPr>
    </w:sdtEndPr>
    <w:sdtContent>
      <w:p w14:paraId="0E063F55" w14:textId="77777777" w:rsidR="00607E72" w:rsidRPr="00670743" w:rsidRDefault="00E74718">
        <w:pPr>
          <w:pStyle w:val="Piedepgina"/>
          <w:jc w:val="right"/>
          <w:rPr>
            <w:rFonts w:ascii="Times New Roman" w:hAnsi="Times New Roman"/>
            <w:b/>
          </w:rPr>
        </w:pPr>
        <w:r w:rsidRPr="00670743">
          <w:rPr>
            <w:rFonts w:ascii="Times New Roman" w:hAnsi="Times New Roman"/>
            <w:b/>
          </w:rPr>
          <w:fldChar w:fldCharType="begin"/>
        </w:r>
        <w:r w:rsidRPr="00670743">
          <w:rPr>
            <w:rFonts w:ascii="Times New Roman" w:hAnsi="Times New Roman"/>
            <w:b/>
          </w:rPr>
          <w:instrText>PAGE   \* MERGEFORMAT</w:instrText>
        </w:r>
        <w:r w:rsidRPr="00670743">
          <w:rPr>
            <w:rFonts w:ascii="Times New Roman" w:hAnsi="Times New Roman"/>
            <w:b/>
          </w:rPr>
          <w:fldChar w:fldCharType="separate"/>
        </w:r>
        <w:r w:rsidR="00767B92" w:rsidRPr="00767B92">
          <w:rPr>
            <w:rFonts w:ascii="Times New Roman" w:hAnsi="Times New Roman"/>
            <w:b/>
            <w:noProof/>
            <w:lang w:val="es-ES"/>
          </w:rPr>
          <w:t>2</w:t>
        </w:r>
        <w:r w:rsidRPr="00670743">
          <w:rPr>
            <w:rFonts w:ascii="Times New Roman" w:hAnsi="Times New Roman"/>
            <w:b/>
          </w:rPr>
          <w:fldChar w:fldCharType="end"/>
        </w:r>
      </w:p>
    </w:sdtContent>
  </w:sdt>
  <w:p w14:paraId="20B86ACF" w14:textId="77777777" w:rsidR="000604A6" w:rsidRPr="00670743" w:rsidRDefault="00E74718" w:rsidP="000604A6">
    <w:pPr>
      <w:pStyle w:val="Piedepgina"/>
      <w:jc w:val="center"/>
      <w:rPr>
        <w:rFonts w:ascii="Times New Roman" w:hAnsi="Times New Roman"/>
        <w:b/>
        <w:color w:val="993366"/>
        <w:sz w:val="18"/>
        <w:szCs w:val="22"/>
        <w:lang w:val="es-ES"/>
      </w:rPr>
    </w:pPr>
    <w:r>
      <w:rPr>
        <w:rFonts w:ascii="Times New Roman" w:hAnsi="Times New Roman"/>
        <w:b/>
        <w:color w:val="993366"/>
        <w:sz w:val="18"/>
        <w:szCs w:val="22"/>
        <w:lang w:val="es-ES"/>
      </w:rPr>
      <w:t>“</w:t>
    </w:r>
    <w:r w:rsidRPr="00670743">
      <w:rPr>
        <w:rFonts w:ascii="Times New Roman" w:hAnsi="Times New Roman"/>
        <w:b/>
        <w:color w:val="993366"/>
        <w:sz w:val="18"/>
        <w:szCs w:val="22"/>
        <w:lang w:val="es-ES"/>
      </w:rPr>
      <w:t>COEO CONSULTORES” S.C.</w:t>
    </w:r>
  </w:p>
  <w:p w14:paraId="5DE65340" w14:textId="77777777" w:rsidR="000604A6" w:rsidRDefault="00E74718" w:rsidP="000604A6">
    <w:pPr>
      <w:pStyle w:val="Piedepgina"/>
      <w:jc w:val="center"/>
      <w:rPr>
        <w:rFonts w:ascii="Times New Roman" w:hAnsi="Times New Roman"/>
        <w:color w:val="993366"/>
        <w:sz w:val="18"/>
        <w:szCs w:val="22"/>
        <w:lang w:val="es-ES"/>
      </w:rPr>
    </w:pPr>
    <w:r>
      <w:rPr>
        <w:rFonts w:ascii="Times New Roman" w:hAnsi="Times New Roman"/>
        <w:color w:val="993366"/>
        <w:sz w:val="18"/>
        <w:szCs w:val="22"/>
        <w:lang w:val="es-ES"/>
      </w:rPr>
      <w:t>Viena 161</w:t>
    </w:r>
    <w:r w:rsidRPr="00670743">
      <w:rPr>
        <w:rFonts w:ascii="Times New Roman" w:hAnsi="Times New Roman"/>
        <w:color w:val="993366"/>
        <w:sz w:val="18"/>
        <w:szCs w:val="22"/>
        <w:lang w:val="es-ES"/>
      </w:rPr>
      <w:t xml:space="preserve">, </w:t>
    </w:r>
    <w:r>
      <w:rPr>
        <w:rFonts w:ascii="Times New Roman" w:hAnsi="Times New Roman"/>
        <w:color w:val="993366"/>
        <w:sz w:val="18"/>
        <w:szCs w:val="22"/>
        <w:lang w:val="es-ES"/>
      </w:rPr>
      <w:t xml:space="preserve">esq. Francisco Javier Mina, </w:t>
    </w:r>
    <w:r w:rsidRPr="00670743">
      <w:rPr>
        <w:rFonts w:ascii="Times New Roman" w:hAnsi="Times New Roman"/>
        <w:color w:val="993366"/>
        <w:sz w:val="18"/>
        <w:szCs w:val="22"/>
        <w:lang w:val="es-ES"/>
      </w:rPr>
      <w:t xml:space="preserve">Colonia </w:t>
    </w:r>
    <w:r>
      <w:rPr>
        <w:rFonts w:ascii="Times New Roman" w:hAnsi="Times New Roman"/>
        <w:color w:val="993366"/>
        <w:sz w:val="18"/>
        <w:szCs w:val="22"/>
        <w:lang w:val="es-ES"/>
      </w:rPr>
      <w:t>Del Carmen</w:t>
    </w:r>
    <w:r w:rsidRPr="00670743">
      <w:rPr>
        <w:rFonts w:ascii="Times New Roman" w:hAnsi="Times New Roman"/>
        <w:color w:val="993366"/>
        <w:sz w:val="18"/>
        <w:szCs w:val="22"/>
        <w:lang w:val="es-ES"/>
      </w:rPr>
      <w:t xml:space="preserve">, </w:t>
    </w:r>
    <w:r>
      <w:rPr>
        <w:rFonts w:ascii="Times New Roman" w:hAnsi="Times New Roman"/>
        <w:color w:val="993366"/>
        <w:sz w:val="18"/>
        <w:szCs w:val="22"/>
        <w:lang w:val="es-ES"/>
      </w:rPr>
      <w:t xml:space="preserve">Coyoacán, </w:t>
    </w:r>
    <w:r w:rsidRPr="00670743">
      <w:rPr>
        <w:rFonts w:ascii="Times New Roman" w:hAnsi="Times New Roman"/>
        <w:color w:val="993366"/>
        <w:sz w:val="18"/>
        <w:szCs w:val="22"/>
        <w:lang w:val="es-ES"/>
      </w:rPr>
      <w:t xml:space="preserve">Ciudad de México, Tel. </w:t>
    </w:r>
    <w:r>
      <w:rPr>
        <w:rFonts w:ascii="Times New Roman" w:hAnsi="Times New Roman"/>
        <w:color w:val="993366"/>
        <w:sz w:val="18"/>
        <w:szCs w:val="22"/>
        <w:lang w:val="es-ES"/>
      </w:rPr>
      <w:t>55-32-48-23-75</w:t>
    </w:r>
  </w:p>
  <w:p w14:paraId="6814A619" w14:textId="77777777" w:rsidR="007656DB" w:rsidRPr="000604A6" w:rsidRDefault="00E74718" w:rsidP="000604A6">
    <w:pPr>
      <w:pStyle w:val="Piedepgina"/>
      <w:jc w:val="center"/>
      <w:rPr>
        <w:rFonts w:ascii="Times New Roman" w:hAnsi="Times New Roman"/>
        <w:color w:val="993366"/>
        <w:sz w:val="18"/>
        <w:szCs w:val="22"/>
        <w:lang w:val="es-ES"/>
      </w:rPr>
    </w:pPr>
    <w:r>
      <w:rPr>
        <w:rFonts w:ascii="Times New Roman" w:hAnsi="Times New Roman"/>
        <w:color w:val="993366"/>
        <w:sz w:val="18"/>
        <w:szCs w:val="22"/>
        <w:lang w:val="es-ES"/>
      </w:rPr>
      <w:t>Mail: asesoresdonatarias@hotmail.com</w:t>
    </w:r>
  </w:p>
  <w:p w14:paraId="7B3503D7" w14:textId="77777777" w:rsidR="002679C7" w:rsidRDefault="001867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F8D9" w14:textId="77777777" w:rsidR="004843D8" w:rsidRPr="00670743" w:rsidRDefault="00E74718" w:rsidP="004843D8">
    <w:pPr>
      <w:pStyle w:val="Piedepgina"/>
      <w:jc w:val="center"/>
      <w:rPr>
        <w:rFonts w:ascii="Times New Roman" w:hAnsi="Times New Roman"/>
        <w:b/>
        <w:color w:val="993366"/>
        <w:sz w:val="18"/>
        <w:szCs w:val="22"/>
        <w:lang w:val="es-ES"/>
      </w:rPr>
    </w:pPr>
    <w:r>
      <w:rPr>
        <w:rFonts w:ascii="Times New Roman" w:hAnsi="Times New Roman"/>
        <w:b/>
        <w:color w:val="993366"/>
        <w:sz w:val="18"/>
        <w:szCs w:val="22"/>
        <w:lang w:val="es-ES"/>
      </w:rPr>
      <w:t>“</w:t>
    </w:r>
    <w:r w:rsidRPr="00670743">
      <w:rPr>
        <w:rFonts w:ascii="Times New Roman" w:hAnsi="Times New Roman"/>
        <w:b/>
        <w:color w:val="993366"/>
        <w:sz w:val="18"/>
        <w:szCs w:val="22"/>
        <w:lang w:val="es-ES"/>
      </w:rPr>
      <w:t>COEO CONSULTORES” S.C.</w:t>
    </w:r>
  </w:p>
  <w:p w14:paraId="16D856E8" w14:textId="77777777" w:rsidR="004843D8" w:rsidRDefault="00E74718" w:rsidP="004843D8">
    <w:pPr>
      <w:pStyle w:val="Piedepgina"/>
      <w:jc w:val="center"/>
      <w:rPr>
        <w:rFonts w:ascii="Times New Roman" w:hAnsi="Times New Roman"/>
        <w:color w:val="993366"/>
        <w:sz w:val="18"/>
        <w:szCs w:val="22"/>
        <w:lang w:val="es-ES"/>
      </w:rPr>
    </w:pPr>
    <w:r>
      <w:rPr>
        <w:rFonts w:ascii="Times New Roman" w:hAnsi="Times New Roman"/>
        <w:color w:val="993366"/>
        <w:sz w:val="18"/>
        <w:szCs w:val="22"/>
        <w:lang w:val="es-ES"/>
      </w:rPr>
      <w:t>Viena 161</w:t>
    </w:r>
    <w:r w:rsidRPr="00670743">
      <w:rPr>
        <w:rFonts w:ascii="Times New Roman" w:hAnsi="Times New Roman"/>
        <w:color w:val="993366"/>
        <w:sz w:val="18"/>
        <w:szCs w:val="22"/>
        <w:lang w:val="es-ES"/>
      </w:rPr>
      <w:t xml:space="preserve">, </w:t>
    </w:r>
    <w:r>
      <w:rPr>
        <w:rFonts w:ascii="Times New Roman" w:hAnsi="Times New Roman"/>
        <w:color w:val="993366"/>
        <w:sz w:val="18"/>
        <w:szCs w:val="22"/>
        <w:lang w:val="es-ES"/>
      </w:rPr>
      <w:t xml:space="preserve">esq. Francisco Javier Mina, </w:t>
    </w:r>
    <w:r w:rsidRPr="00670743">
      <w:rPr>
        <w:rFonts w:ascii="Times New Roman" w:hAnsi="Times New Roman"/>
        <w:color w:val="993366"/>
        <w:sz w:val="18"/>
        <w:szCs w:val="22"/>
        <w:lang w:val="es-ES"/>
      </w:rPr>
      <w:t xml:space="preserve">Colonia </w:t>
    </w:r>
    <w:r>
      <w:rPr>
        <w:rFonts w:ascii="Times New Roman" w:hAnsi="Times New Roman"/>
        <w:color w:val="993366"/>
        <w:sz w:val="18"/>
        <w:szCs w:val="22"/>
        <w:lang w:val="es-ES"/>
      </w:rPr>
      <w:t>Del Carmen</w:t>
    </w:r>
    <w:r w:rsidRPr="00670743">
      <w:rPr>
        <w:rFonts w:ascii="Times New Roman" w:hAnsi="Times New Roman"/>
        <w:color w:val="993366"/>
        <w:sz w:val="18"/>
        <w:szCs w:val="22"/>
        <w:lang w:val="es-ES"/>
      </w:rPr>
      <w:t xml:space="preserve">, </w:t>
    </w:r>
    <w:r>
      <w:rPr>
        <w:rFonts w:ascii="Times New Roman" w:hAnsi="Times New Roman"/>
        <w:color w:val="993366"/>
        <w:sz w:val="18"/>
        <w:szCs w:val="22"/>
        <w:lang w:val="es-ES"/>
      </w:rPr>
      <w:t xml:space="preserve">Coyoacán, </w:t>
    </w:r>
    <w:r w:rsidRPr="00670743">
      <w:rPr>
        <w:rFonts w:ascii="Times New Roman" w:hAnsi="Times New Roman"/>
        <w:color w:val="993366"/>
        <w:sz w:val="18"/>
        <w:szCs w:val="22"/>
        <w:lang w:val="es-ES"/>
      </w:rPr>
      <w:t xml:space="preserve">Ciudad de México, Tel. </w:t>
    </w:r>
    <w:r>
      <w:rPr>
        <w:rFonts w:ascii="Times New Roman" w:hAnsi="Times New Roman"/>
        <w:color w:val="993366"/>
        <w:sz w:val="18"/>
        <w:szCs w:val="22"/>
        <w:lang w:val="es-ES"/>
      </w:rPr>
      <w:t>55-32-48-23-75</w:t>
    </w:r>
  </w:p>
  <w:p w14:paraId="048AACFF" w14:textId="77777777" w:rsidR="002D4E60" w:rsidRPr="00670743" w:rsidRDefault="00E74718" w:rsidP="004843D8">
    <w:pPr>
      <w:pStyle w:val="Piedepgina"/>
      <w:jc w:val="center"/>
      <w:rPr>
        <w:rFonts w:ascii="Times New Roman" w:hAnsi="Times New Roman"/>
        <w:color w:val="993366"/>
        <w:sz w:val="18"/>
        <w:szCs w:val="22"/>
        <w:lang w:val="es-ES"/>
      </w:rPr>
    </w:pPr>
    <w:r>
      <w:rPr>
        <w:rFonts w:ascii="Times New Roman" w:hAnsi="Times New Roman"/>
        <w:color w:val="993366"/>
        <w:sz w:val="18"/>
        <w:szCs w:val="22"/>
        <w:lang w:val="es-ES"/>
      </w:rPr>
      <w:t>Mail: asesoresdonatarias@hotmail.com</w:t>
    </w:r>
  </w:p>
  <w:p w14:paraId="571B5447" w14:textId="77777777" w:rsidR="001E0264" w:rsidRPr="00670743" w:rsidRDefault="001867C3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F3C95" w14:textId="77777777" w:rsidR="001867C3" w:rsidRDefault="001867C3" w:rsidP="00C86101">
      <w:r>
        <w:separator/>
      </w:r>
    </w:p>
  </w:footnote>
  <w:footnote w:type="continuationSeparator" w:id="0">
    <w:p w14:paraId="196BD8A9" w14:textId="77777777" w:rsidR="001867C3" w:rsidRDefault="001867C3" w:rsidP="00C8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557"/>
    </w:tblGrid>
    <w:tr w:rsidR="00670743" w14:paraId="1A922F25" w14:textId="77777777" w:rsidTr="00517F55">
      <w:tc>
        <w:tcPr>
          <w:tcW w:w="6799" w:type="dxa"/>
          <w:vAlign w:val="center"/>
        </w:tcPr>
        <w:p w14:paraId="041F6BC9" w14:textId="77777777" w:rsidR="00670743" w:rsidRPr="00670743" w:rsidRDefault="001867C3" w:rsidP="004D1FB0">
          <w:pPr>
            <w:spacing w:line="276" w:lineRule="auto"/>
            <w:rPr>
              <w:b/>
              <w:i/>
              <w:szCs w:val="22"/>
            </w:rPr>
          </w:pPr>
        </w:p>
      </w:tc>
      <w:tc>
        <w:tcPr>
          <w:tcW w:w="2557" w:type="dxa"/>
        </w:tcPr>
        <w:p w14:paraId="4476BF35" w14:textId="77777777" w:rsidR="00670743" w:rsidRDefault="00E74718" w:rsidP="00FE5477">
          <w:pPr>
            <w:pStyle w:val="Puesto"/>
            <w:jc w:val="right"/>
            <w:rPr>
              <w:rFonts w:ascii="Corbel" w:hAnsi="Corbel"/>
              <w:noProof/>
              <w:color w:val="806000" w:themeColor="accent4" w:themeShade="80"/>
              <w:u w:val="single"/>
              <w:lang w:val="es-ES"/>
            </w:rPr>
          </w:pPr>
          <w:r>
            <w:rPr>
              <w:rFonts w:ascii="Corbel" w:hAnsi="Corbel"/>
              <w:noProof/>
              <w:color w:val="806000" w:themeColor="accent4" w:themeShade="80"/>
              <w:u w:val="single"/>
              <w:lang w:val="es-MX" w:eastAsia="es-MX"/>
            </w:rPr>
            <w:drawing>
              <wp:inline distT="0" distB="0" distL="0" distR="0" wp14:anchorId="2FE7B0AB" wp14:editId="667151E8">
                <wp:extent cx="530527" cy="360000"/>
                <wp:effectExtent l="0" t="0" r="3175" b="2540"/>
                <wp:docPr id="25" name="Imagen 1" descr="C:\Users\José Ernesto Bermejo\Desktop\logo coe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Ernesto Bermejo\Desktop\logo coe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527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275E94" w14:textId="77777777" w:rsidR="007656DB" w:rsidRDefault="001867C3">
    <w:pPr>
      <w:pStyle w:val="Encabezado"/>
    </w:pPr>
  </w:p>
  <w:p w14:paraId="02644031" w14:textId="77777777" w:rsidR="002679C7" w:rsidRDefault="001867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9C1F7" w14:textId="77777777" w:rsidR="00FE5477" w:rsidRDefault="00E74718" w:rsidP="00B14CCF">
    <w:pPr>
      <w:pStyle w:val="Encabezado"/>
      <w:jc w:val="center"/>
    </w:pPr>
    <w:r>
      <w:rPr>
        <w:rFonts w:ascii="Corbel" w:hAnsi="Corbel"/>
        <w:noProof/>
        <w:color w:val="806000" w:themeColor="accent4" w:themeShade="80"/>
        <w:u w:val="single"/>
        <w:lang w:val="es-MX" w:eastAsia="es-MX"/>
      </w:rPr>
      <w:drawing>
        <wp:inline distT="0" distB="0" distL="0" distR="0" wp14:anchorId="24601D8E" wp14:editId="165A961F">
          <wp:extent cx="1333500" cy="904875"/>
          <wp:effectExtent l="19050" t="0" r="0" b="0"/>
          <wp:docPr id="26" name="Imagen 1" descr="C:\Users\José Ernesto Bermejo\Desktop\logo co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é Ernesto Bermejo\Desktop\logo coe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330C7A" w14:textId="77777777" w:rsidR="00D13FD3" w:rsidRDefault="001867C3">
    <w:pPr>
      <w:pStyle w:val="Encabezado"/>
    </w:pPr>
  </w:p>
  <w:p w14:paraId="717285CD" w14:textId="77777777" w:rsidR="00D13FD3" w:rsidRDefault="001867C3">
    <w:pPr>
      <w:pStyle w:val="Encabezado"/>
    </w:pPr>
  </w:p>
  <w:p w14:paraId="5183EF73" w14:textId="674BD6CA" w:rsidR="00D13FD3" w:rsidRPr="00D13FD3" w:rsidRDefault="001867C3" w:rsidP="00D13FD3">
    <w:pPr>
      <w:pStyle w:val="Encabezado"/>
      <w:jc w:val="center"/>
      <w:rPr>
        <w:rFonts w:ascii="Arial Nova Cond" w:hAnsi="Arial Nova Cond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A2D92"/>
    <w:multiLevelType w:val="hybridMultilevel"/>
    <w:tmpl w:val="E06C2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935"/>
    <w:multiLevelType w:val="hybridMultilevel"/>
    <w:tmpl w:val="A67EE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25FB"/>
    <w:multiLevelType w:val="hybridMultilevel"/>
    <w:tmpl w:val="DCAC3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D3E9E"/>
    <w:multiLevelType w:val="hybridMultilevel"/>
    <w:tmpl w:val="64AC964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714A6"/>
    <w:multiLevelType w:val="hybridMultilevel"/>
    <w:tmpl w:val="B628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C4932"/>
    <w:multiLevelType w:val="hybridMultilevel"/>
    <w:tmpl w:val="6D861B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A06DE"/>
    <w:multiLevelType w:val="hybridMultilevel"/>
    <w:tmpl w:val="747AD9D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A"/>
    <w:rsid w:val="00016ED4"/>
    <w:rsid w:val="0007027D"/>
    <w:rsid w:val="001867C3"/>
    <w:rsid w:val="00196C18"/>
    <w:rsid w:val="002274BB"/>
    <w:rsid w:val="00243E89"/>
    <w:rsid w:val="003C2008"/>
    <w:rsid w:val="003E07DF"/>
    <w:rsid w:val="006104DD"/>
    <w:rsid w:val="00626A1E"/>
    <w:rsid w:val="006F4857"/>
    <w:rsid w:val="00767B92"/>
    <w:rsid w:val="0085394A"/>
    <w:rsid w:val="009F072A"/>
    <w:rsid w:val="00B14CCF"/>
    <w:rsid w:val="00B371E4"/>
    <w:rsid w:val="00C86101"/>
    <w:rsid w:val="00D022EA"/>
    <w:rsid w:val="00D81952"/>
    <w:rsid w:val="00DD06F6"/>
    <w:rsid w:val="00E11137"/>
    <w:rsid w:val="00E74718"/>
    <w:rsid w:val="00F1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524C"/>
  <w15:chartTrackingRefBased/>
  <w15:docId w15:val="{0AB02D2A-F7AB-4993-BFC6-A4133A4F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5394A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94A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539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9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85394A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0"/>
    <w:rsid w:val="0085394A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val="en-US" w:eastAsia="ja-JP"/>
    </w:rPr>
  </w:style>
  <w:style w:type="table" w:styleId="Tablaconcuadrcula">
    <w:name w:val="Table Grid"/>
    <w:basedOn w:val="Tablanormal"/>
    <w:uiPriority w:val="59"/>
    <w:rsid w:val="0085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85394A"/>
  </w:style>
  <w:style w:type="paragraph" w:customStyle="1" w:styleId="CuerpoA">
    <w:name w:val="Cuerpo A"/>
    <w:rsid w:val="008539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s-ES"/>
    </w:rPr>
  </w:style>
  <w:style w:type="paragraph" w:styleId="Prrafodelista">
    <w:name w:val="List Paragraph"/>
    <w:aliases w:val="Bullets,Bullets 11 COBI 2017"/>
    <w:basedOn w:val="Normal"/>
    <w:uiPriority w:val="34"/>
    <w:qFormat/>
    <w:rsid w:val="0085394A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sz w:val="24"/>
      <w:szCs w:val="24"/>
      <w:bdr w:val="nil"/>
      <w:lang w:val="es-MX" w:eastAsia="en-US"/>
    </w:rPr>
  </w:style>
  <w:style w:type="paragraph" w:styleId="Textosinformato">
    <w:name w:val="Plain Text"/>
    <w:link w:val="TextosinformatoCar"/>
    <w:rsid w:val="008539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5394A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customStyle="1" w:styleId="Default">
    <w:name w:val="Default"/>
    <w:rsid w:val="00853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A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A1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Usuario</cp:lastModifiedBy>
  <cp:revision>2</cp:revision>
  <dcterms:created xsi:type="dcterms:W3CDTF">2020-10-16T18:28:00Z</dcterms:created>
  <dcterms:modified xsi:type="dcterms:W3CDTF">2020-10-16T18:28:00Z</dcterms:modified>
</cp:coreProperties>
</file>