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33" w:rsidRDefault="00282D33" w:rsidP="00457E4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r w:rsidRPr="00096D93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-994410</wp:posOffset>
            </wp:positionH>
            <wp:positionV relativeFrom="paragraph">
              <wp:posOffset>-585470</wp:posOffset>
            </wp:positionV>
            <wp:extent cx="971550" cy="952500"/>
            <wp:effectExtent l="19050" t="0" r="0" b="0"/>
            <wp:wrapTight wrapText="bothSides">
              <wp:wrapPolygon edited="0">
                <wp:start x="-424" y="0"/>
                <wp:lineTo x="-424" y="21168"/>
                <wp:lineTo x="21600" y="21168"/>
                <wp:lineTo x="21600" y="0"/>
                <wp:lineTo x="-424" y="0"/>
              </wp:wrapPolygon>
            </wp:wrapTight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XII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6D93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4406265</wp:posOffset>
            </wp:positionH>
            <wp:positionV relativeFrom="paragraph">
              <wp:posOffset>-585470</wp:posOffset>
            </wp:positionV>
            <wp:extent cx="1771650" cy="714375"/>
            <wp:effectExtent l="19050" t="0" r="0" b="0"/>
            <wp:wrapSquare wrapText="bothSides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CA3" w:rsidRDefault="00DA6CA3" w:rsidP="00282D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</w:pPr>
    </w:p>
    <w:p w:rsidR="00282D33" w:rsidRPr="00B96A82" w:rsidRDefault="00282D33" w:rsidP="00282D3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ES_tradnl" w:eastAsia="es-MX"/>
        </w:rPr>
      </w:pP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México, D.F., Palacio Legislativo de San Lázaro, a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>7 de diciembre</w:t>
      </w: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de 2014</w:t>
      </w:r>
      <w:r w:rsidRPr="00B96A82">
        <w:rPr>
          <w:rFonts w:ascii="Arial" w:eastAsia="Times New Roman" w:hAnsi="Arial" w:cs="Arial"/>
          <w:color w:val="222222"/>
          <w:sz w:val="24"/>
          <w:szCs w:val="24"/>
          <w:lang w:val="es-ES_tradnl" w:eastAsia="es-MX"/>
        </w:rPr>
        <w:t> </w:t>
      </w:r>
    </w:p>
    <w:p w:rsidR="00282D33" w:rsidRPr="00282D33" w:rsidRDefault="00282D33" w:rsidP="00282D3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                         </w:t>
      </w:r>
      <w:r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 xml:space="preserve">                 CESOP/CVyD/ 084</w:t>
      </w:r>
      <w:r w:rsidRPr="00B96A82">
        <w:rPr>
          <w:rFonts w:ascii="Arial" w:eastAsia="Times New Roman" w:hAnsi="Arial" w:cs="Arial"/>
          <w:bCs/>
          <w:color w:val="222222"/>
          <w:sz w:val="24"/>
          <w:szCs w:val="24"/>
          <w:lang w:val="es-ES_tradnl" w:eastAsia="es-MX"/>
        </w:rPr>
        <w:t>/14</w:t>
      </w:r>
    </w:p>
    <w:p w:rsidR="00457E43" w:rsidRDefault="001E6569" w:rsidP="00457E4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  <w:bookmarkStart w:id="0" w:name="_GoBack"/>
      <w:r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CESOP y CIDE otorgan el premio al mejor ensayo sobre la </w:t>
      </w:r>
      <w:r w:rsidR="00457E43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>C</w:t>
      </w:r>
      <w:r w:rsidR="00457E43" w:rsidRPr="00AB2918"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  <w:t xml:space="preserve">onstitución de 1917 </w:t>
      </w:r>
    </w:p>
    <w:bookmarkEnd w:id="0"/>
    <w:p w:rsidR="003117D2" w:rsidRDefault="003117D2" w:rsidP="00457E4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457E43" w:rsidRPr="001E6569" w:rsidRDefault="003117D2" w:rsidP="003117D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MX"/>
        </w:rPr>
      </w:pPr>
      <w:r w:rsidRPr="001E6569">
        <w:rPr>
          <w:rFonts w:ascii="Arial" w:eastAsia="Times New Roman" w:hAnsi="Arial" w:cs="Arial"/>
          <w:color w:val="222222"/>
          <w:lang w:eastAsia="es-MX"/>
        </w:rPr>
        <w:t>La ceremonia se llevará a cabo el próximo 9 de diciembre.</w:t>
      </w:r>
    </w:p>
    <w:p w:rsidR="00061D72" w:rsidRPr="001E6569" w:rsidRDefault="00061D72" w:rsidP="003117D2">
      <w:pPr>
        <w:pStyle w:val="Prrafode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lang w:eastAsia="es-MX"/>
        </w:rPr>
      </w:pPr>
      <w:r w:rsidRPr="001E6569">
        <w:rPr>
          <w:rFonts w:ascii="Arial" w:eastAsia="Times New Roman" w:hAnsi="Arial" w:cs="Arial"/>
          <w:color w:val="222222"/>
          <w:lang w:eastAsia="es-MX"/>
        </w:rPr>
        <w:t xml:space="preserve">Se premiará con cincuenta mil pesos a </w:t>
      </w:r>
      <w:r w:rsidR="00713430" w:rsidRPr="001E6569">
        <w:rPr>
          <w:rFonts w:ascii="Arial" w:eastAsia="Times New Roman" w:hAnsi="Arial" w:cs="Arial"/>
          <w:color w:val="222222"/>
          <w:lang w:eastAsia="es-MX"/>
        </w:rPr>
        <w:t>cada uno de los dos ensayos</w:t>
      </w:r>
      <w:r w:rsidR="000D0761" w:rsidRPr="001E6569">
        <w:rPr>
          <w:rFonts w:ascii="Arial" w:eastAsia="Times New Roman" w:hAnsi="Arial" w:cs="Arial"/>
          <w:color w:val="222222"/>
          <w:lang w:eastAsia="es-MX"/>
        </w:rPr>
        <w:t xml:space="preserve"> ganadores</w:t>
      </w:r>
      <w:r w:rsidR="00713430" w:rsidRPr="001E6569">
        <w:rPr>
          <w:rFonts w:ascii="Arial" w:eastAsia="Times New Roman" w:hAnsi="Arial" w:cs="Arial"/>
          <w:color w:val="222222"/>
          <w:lang w:eastAsia="es-MX"/>
        </w:rPr>
        <w:t>.</w:t>
      </w:r>
    </w:p>
    <w:p w:rsidR="00E71902" w:rsidRDefault="00E71902" w:rsidP="003117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802A24" w:rsidRDefault="00802A24" w:rsidP="003117D2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El Centro de Estudios Sociales y de Opinión Pública (CESOP) de la Cámara de Diputados y el Centro de Investigación y Docencia Económica (CIDE) decidieron, a través de un Comité Académico,  que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los ganadores del segundo concurso de textos para la creación de la obra conmemorativa del centenario de la promulgación de la Constitución de 1917 son Mauro Arturo Rivera León con </w:t>
      </w:r>
      <w:r w:rsidRPr="00C15F7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“De Apatzingán a Kelsen: tras las sombras de la justicia constitucional en México”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y Adán Nieto Flores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con </w:t>
      </w:r>
      <w:r w:rsidRPr="00C15F7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“Reconsideraciones sobre el centralismo y constitucionalismo mexicano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”.</w:t>
      </w:r>
    </w:p>
    <w:p w:rsidR="00802A24" w:rsidRDefault="00802A24" w:rsidP="00802A24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802A24" w:rsidRDefault="00802A24" w:rsidP="00802A24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Tras la revisión de los ensayos propuestos, e</w:t>
      </w:r>
      <w:r w:rsidRPr="00BA044F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 Comité Académico determinó premiar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a los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dos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autores con </w:t>
      </w:r>
      <w:r w:rsidRPr="00BA044F">
        <w:rPr>
          <w:rFonts w:ascii="Arial" w:eastAsia="Times New Roman" w:hAnsi="Arial" w:cs="Arial"/>
          <w:color w:val="000000" w:themeColor="text1"/>
          <w:sz w:val="24"/>
          <w:szCs w:val="24"/>
          <w:lang w:eastAsia="es-MX"/>
        </w:rPr>
        <w:t>cincuenta mil pesos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cada uno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, además, consideró necesario establecer cuatro menciones honoríficas para los siguientes trabajos: </w:t>
      </w:r>
      <w:r w:rsidRPr="00D565E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“La Constitución yucateca y el amparo, como antecedente del control jurisdiccional de la Const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itución Federal” de </w:t>
      </w:r>
      <w:r w:rsidRPr="00D565E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Nicolás Nieto Nava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D565E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“La Constitución Política de 1824 de las provincias a la nación (Génesis y difusión)”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Pr="00D565E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José Trinidad </w:t>
      </w:r>
      <w:proofErr w:type="spellStart"/>
      <w:r w:rsidRPr="00D565E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Cázarez</w:t>
      </w:r>
      <w:proofErr w:type="spellEnd"/>
      <w:r w:rsidRPr="00D565E3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Mata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;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862D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“Reserva competencial y litigio en San Luis Potosí a la luz de una formulación constitucional anglosajona, 1875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-1878” de </w:t>
      </w:r>
      <w:r w:rsidRPr="00862D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Daniel Jacobo-Marín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y </w:t>
      </w:r>
      <w:r w:rsidRPr="00862D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“Coahuila y sus Constituciones”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J</w:t>
      </w:r>
      <w:r w:rsidRPr="00862D66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avier Villareal Lozano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314BD0" w:rsidRDefault="00314BD0" w:rsidP="00314BD0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B95BAE">
        <w:rPr>
          <w:rFonts w:ascii="Arial" w:eastAsia="Times New Roman" w:hAnsi="Arial" w:cs="Arial"/>
          <w:sz w:val="24"/>
          <w:szCs w:val="24"/>
          <w:lang w:eastAsia="es-MX"/>
        </w:rPr>
        <w:t xml:space="preserve">La ceremonia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premiación </w:t>
      </w:r>
      <w:r w:rsidRPr="004813F8">
        <w:rPr>
          <w:rFonts w:ascii="Arial" w:hAnsi="Arial" w:cs="Arial"/>
          <w:sz w:val="24"/>
          <w:szCs w:val="24"/>
        </w:rPr>
        <w:t>se llevará a cabo el próximo</w:t>
      </w:r>
      <w:r>
        <w:rPr>
          <w:rFonts w:ascii="Arial" w:hAnsi="Arial" w:cs="Arial"/>
          <w:sz w:val="24"/>
          <w:szCs w:val="24"/>
        </w:rPr>
        <w:t xml:space="preserve"> </w:t>
      </w:r>
      <w:r w:rsidR="00AC417E">
        <w:rPr>
          <w:rFonts w:ascii="Arial" w:hAnsi="Arial" w:cs="Arial"/>
          <w:sz w:val="24"/>
          <w:szCs w:val="24"/>
        </w:rPr>
        <w:t>9 de diciembre a las 10:0</w:t>
      </w:r>
      <w:r w:rsidRPr="002F11F1">
        <w:rPr>
          <w:rFonts w:ascii="Arial" w:hAnsi="Arial" w:cs="Arial"/>
          <w:sz w:val="24"/>
          <w:szCs w:val="24"/>
        </w:rPr>
        <w:t>0 horas</w:t>
      </w:r>
      <w:r>
        <w:rPr>
          <w:rFonts w:ascii="Arial" w:hAnsi="Arial" w:cs="Arial"/>
          <w:sz w:val="24"/>
          <w:szCs w:val="24"/>
        </w:rPr>
        <w:t>,</w:t>
      </w:r>
      <w:r w:rsidRPr="002F11F1">
        <w:rPr>
          <w:rFonts w:ascii="Arial" w:hAnsi="Arial" w:cs="Arial"/>
          <w:sz w:val="24"/>
          <w:szCs w:val="24"/>
        </w:rPr>
        <w:t xml:space="preserve"> en la Sala CIB de la Biblioteca del CIDE</w:t>
      </w:r>
      <w:r>
        <w:rPr>
          <w:rFonts w:ascii="Arial" w:hAnsi="Arial" w:cs="Arial"/>
          <w:sz w:val="24"/>
          <w:szCs w:val="24"/>
        </w:rPr>
        <w:t xml:space="preserve">, y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durante el evento se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contará con la </w:t>
      </w:r>
      <w:r w:rsidRPr="00E36EF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presencia del Dr. Rafael Aréstegui Ruiz, 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director g</w:t>
      </w:r>
      <w:r w:rsidRPr="00E36EF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eneral del CESOP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F11F1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y del Dr. Sergio López Ay</w:t>
      </w: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llón, director general del CIDE.</w:t>
      </w:r>
    </w:p>
    <w:p w:rsidR="00314BD0" w:rsidRDefault="00314BD0" w:rsidP="00802A24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802A24" w:rsidRDefault="00802A24" w:rsidP="003117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B021D4" w:rsidRDefault="001E6569" w:rsidP="00B56E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El concurso</w:t>
      </w:r>
      <w:r w:rsidR="00314BD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de ensayos se realiza e</w:t>
      </w:r>
      <w:r w:rsidR="00457E43" w:rsidRPr="0045219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n el marco </w:t>
      </w:r>
      <w:r w:rsidR="00457E43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del programa de estudios</w:t>
      </w:r>
      <w:r w:rsidR="00457E43" w:rsidRPr="0045219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</w:t>
      </w:r>
      <w:r w:rsidR="00314BD0" w:rsidRPr="0007325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“La Constitución de 1917 en su primer centenario”</w:t>
      </w:r>
      <w:r w:rsidR="00314BD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 xml:space="preserve"> y los trabajos ganadores pasaran a formar parte de </w:t>
      </w:r>
      <w:r w:rsidR="0007325D" w:rsidRPr="0007325D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es-MX"/>
        </w:rPr>
        <w:t>la creación de la obra conmemorativa del centenario de la promulgación de la Constitución de 1917.</w:t>
      </w:r>
    </w:p>
    <w:p w:rsidR="00B56E33" w:rsidRPr="00B56E33" w:rsidRDefault="00B56E33" w:rsidP="00B56E3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:rsidR="00281827" w:rsidRDefault="008D20E9" w:rsidP="00281827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Esta segunda convocatoria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se hizo tras la </w:t>
      </w:r>
      <w:r w:rsidR="00B1154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extensa participación 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que se registró en el </w:t>
      </w:r>
      <w:r w:rsidR="00B15EB2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primer</w:t>
      </w:r>
      <w:r w:rsidR="00B1154C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concurso de ensayos</w:t>
      </w:r>
      <w:r w:rsidR="00314BD0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, cuya ceremonia de premiación se llevó a cabo el 7 de agosto pasado en el Palacio Legislativo de San Lázaro</w:t>
      </w:r>
      <w:r w:rsidR="001E6569"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. Para esta ocasión, los temas sobre los que versó el concurso fueron: </w:t>
      </w:r>
      <w:r w:rsidR="0040462B" w:rsidRPr="0040462B">
        <w:rPr>
          <w:rFonts w:ascii="Arial" w:hAnsi="Arial" w:cs="Arial"/>
          <w:color w:val="000000" w:themeColor="text1"/>
          <w:sz w:val="24"/>
          <w:szCs w:val="24"/>
        </w:rPr>
        <w:t>las constituciones locales y su relación con las constituciones fede</w:t>
      </w:r>
      <w:r w:rsidR="00FD5203">
        <w:rPr>
          <w:rFonts w:ascii="Arial" w:hAnsi="Arial" w:cs="Arial"/>
          <w:color w:val="000000" w:themeColor="text1"/>
          <w:sz w:val="24"/>
          <w:szCs w:val="24"/>
        </w:rPr>
        <w:t xml:space="preserve">rales de 1824, 1857 y 1917, y </w:t>
      </w:r>
      <w:r w:rsidR="001E6569">
        <w:rPr>
          <w:rFonts w:ascii="Arial" w:hAnsi="Arial" w:cs="Arial"/>
          <w:color w:val="000000" w:themeColor="text1"/>
          <w:sz w:val="24"/>
          <w:szCs w:val="24"/>
        </w:rPr>
        <w:t xml:space="preserve"> l</w:t>
      </w:r>
      <w:r w:rsidR="0040462B" w:rsidRPr="0040462B">
        <w:rPr>
          <w:rFonts w:ascii="Arial" w:hAnsi="Arial" w:cs="Arial"/>
          <w:color w:val="000000" w:themeColor="text1"/>
          <w:sz w:val="24"/>
          <w:szCs w:val="24"/>
        </w:rPr>
        <w:t>as aportaciones de la Constitución de Apatzingán (1814), de las Siete Leyes (1836) y las Bases Orgánicas (1843) para el desarrollo del constitucionalismo mexicano</w:t>
      </w:r>
      <w:r w:rsidR="0032615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6569" w:rsidRDefault="001E6569" w:rsidP="00281827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56E33" w:rsidRPr="001E6569" w:rsidRDefault="001E6569" w:rsidP="001E6569">
      <w:pPr>
        <w:spacing w:after="16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1E6569">
        <w:rPr>
          <w:rFonts w:ascii="Arial" w:hAnsi="Arial" w:cs="Arial"/>
          <w:b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--oo---000—oo--</w:t>
      </w:r>
    </w:p>
    <w:p w:rsidR="00C15F72" w:rsidRDefault="00C15F72" w:rsidP="00C15F72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B56E33" w:rsidRDefault="00B56E33" w:rsidP="00E71902">
      <w:pPr>
        <w:spacing w:after="160" w:line="360" w:lineRule="auto"/>
        <w:jc w:val="both"/>
        <w:rPr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</w:p>
    <w:p w:rsidR="002F11F1" w:rsidRDefault="002F11F1" w:rsidP="003117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p w:rsidR="003117D2" w:rsidRPr="003117D2" w:rsidRDefault="003117D2" w:rsidP="003117D2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es-MX"/>
        </w:rPr>
      </w:pPr>
    </w:p>
    <w:sectPr w:rsidR="003117D2" w:rsidRPr="003117D2" w:rsidSect="00033D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E80"/>
    <w:multiLevelType w:val="hybridMultilevel"/>
    <w:tmpl w:val="64FA6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0F"/>
    <w:rsid w:val="00033D0E"/>
    <w:rsid w:val="00061D72"/>
    <w:rsid w:val="0007325D"/>
    <w:rsid w:val="000D0761"/>
    <w:rsid w:val="001E6569"/>
    <w:rsid w:val="00281827"/>
    <w:rsid w:val="00282D33"/>
    <w:rsid w:val="002B31B8"/>
    <w:rsid w:val="002F11F1"/>
    <w:rsid w:val="003117D2"/>
    <w:rsid w:val="00314BD0"/>
    <w:rsid w:val="00326158"/>
    <w:rsid w:val="003416F9"/>
    <w:rsid w:val="0040462B"/>
    <w:rsid w:val="004450CF"/>
    <w:rsid w:val="00457E43"/>
    <w:rsid w:val="00541E5E"/>
    <w:rsid w:val="00551C36"/>
    <w:rsid w:val="00580432"/>
    <w:rsid w:val="006A2CC3"/>
    <w:rsid w:val="00713430"/>
    <w:rsid w:val="007B227B"/>
    <w:rsid w:val="00802A24"/>
    <w:rsid w:val="00862D66"/>
    <w:rsid w:val="008A7276"/>
    <w:rsid w:val="008D20E9"/>
    <w:rsid w:val="009030C9"/>
    <w:rsid w:val="00A21877"/>
    <w:rsid w:val="00A6690F"/>
    <w:rsid w:val="00AC417E"/>
    <w:rsid w:val="00B021D4"/>
    <w:rsid w:val="00B1154C"/>
    <w:rsid w:val="00B15EB2"/>
    <w:rsid w:val="00B56E33"/>
    <w:rsid w:val="00C15F72"/>
    <w:rsid w:val="00CF1FCA"/>
    <w:rsid w:val="00D565E3"/>
    <w:rsid w:val="00DA6CA3"/>
    <w:rsid w:val="00E21B95"/>
    <w:rsid w:val="00E71902"/>
    <w:rsid w:val="00F7440F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B637E3-E568-4917-9EFC-6014517F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E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7D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2F1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</dc:creator>
  <cp:lastModifiedBy>Usuario</cp:lastModifiedBy>
  <cp:revision>2</cp:revision>
  <cp:lastPrinted>2014-12-04T00:46:00Z</cp:lastPrinted>
  <dcterms:created xsi:type="dcterms:W3CDTF">2014-12-08T15:52:00Z</dcterms:created>
  <dcterms:modified xsi:type="dcterms:W3CDTF">2014-12-08T15:52:00Z</dcterms:modified>
</cp:coreProperties>
</file>